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5426" w14:textId="68D5EE39" w:rsidR="00306EDF" w:rsidRPr="00063228" w:rsidRDefault="00063228" w:rsidP="4A744C47">
      <w:pPr>
        <w:jc w:val="center"/>
        <w:rPr>
          <w:rFonts w:ascii="Verdana" w:eastAsia="Verdana" w:hAnsi="Verdana" w:cs="Verdana"/>
          <w:b/>
          <w:bCs/>
          <w:lang w:val="en-GB"/>
        </w:rPr>
      </w:pPr>
      <w:r>
        <w:rPr>
          <w:rFonts w:ascii="Verdana" w:eastAsia="Verdana" w:hAnsi="Verdana" w:cs="Verdana"/>
          <w:b/>
          <w:bCs/>
          <w:lang w:val="en-GB"/>
        </w:rPr>
        <w:t xml:space="preserve">Terms of the graduation process at majors held at the Institute of Political Science </w:t>
      </w:r>
    </w:p>
    <w:p w14:paraId="1DFD7FB7" w14:textId="0AE45554" w:rsidR="394BD938" w:rsidRPr="00063228" w:rsidRDefault="394BD938" w:rsidP="0098E32B">
      <w:pPr>
        <w:rPr>
          <w:rFonts w:ascii="Verdana" w:eastAsia="Verdana" w:hAnsi="Verdana" w:cs="Verdana"/>
          <w:b/>
          <w:bCs/>
          <w:lang w:val="en-GB"/>
        </w:rPr>
      </w:pPr>
    </w:p>
    <w:p w14:paraId="63DE5E2A" w14:textId="5A8F01B2" w:rsidR="23A59EF5" w:rsidRPr="00063228" w:rsidRDefault="00063228" w:rsidP="0098E32B">
      <w:pPr>
        <w:pStyle w:val="Akapitzlist"/>
        <w:numPr>
          <w:ilvl w:val="0"/>
          <w:numId w:val="4"/>
        </w:numPr>
        <w:rPr>
          <w:rFonts w:ascii="Verdana" w:eastAsia="Verdana" w:hAnsi="Verdana" w:cs="Verdana"/>
          <w:b/>
          <w:bCs/>
          <w:lang w:val="en-GB"/>
        </w:rPr>
      </w:pPr>
      <w:r>
        <w:rPr>
          <w:rFonts w:ascii="Verdana" w:eastAsia="Verdana" w:hAnsi="Verdana" w:cs="Verdana"/>
          <w:b/>
          <w:bCs/>
          <w:lang w:val="en-GB"/>
        </w:rPr>
        <w:t xml:space="preserve">General provisions </w:t>
      </w:r>
    </w:p>
    <w:p w14:paraId="616891CF" w14:textId="1E78029D" w:rsidR="23A59EF5" w:rsidRPr="00063228" w:rsidRDefault="00063228" w:rsidP="0098E32B">
      <w:pPr>
        <w:pStyle w:val="Akapitzlist"/>
        <w:numPr>
          <w:ilvl w:val="0"/>
          <w:numId w:val="3"/>
        </w:numPr>
        <w:rPr>
          <w:rFonts w:ascii="Verdana" w:eastAsia="Verdana" w:hAnsi="Verdana" w:cs="Verdana"/>
          <w:lang w:val="en-GB"/>
        </w:rPr>
      </w:pPr>
      <w:r>
        <w:rPr>
          <w:rFonts w:ascii="Verdana" w:eastAsia="Verdana" w:hAnsi="Verdana" w:cs="Verdana"/>
          <w:lang w:val="en-GB"/>
        </w:rPr>
        <w:t xml:space="preserve">The terms of </w:t>
      </w:r>
      <w:r w:rsidR="00F71F56">
        <w:rPr>
          <w:rFonts w:ascii="Verdana" w:eastAsia="Verdana" w:hAnsi="Verdana" w:cs="Verdana"/>
          <w:lang w:val="en-GB"/>
        </w:rPr>
        <w:t xml:space="preserve">the </w:t>
      </w:r>
      <w:r>
        <w:rPr>
          <w:rFonts w:ascii="Verdana" w:eastAsia="Verdana" w:hAnsi="Verdana" w:cs="Verdana"/>
          <w:lang w:val="en-GB"/>
        </w:rPr>
        <w:t>graduation process at majors held at the Ins</w:t>
      </w:r>
      <w:r w:rsidR="0663AD9E" w:rsidRPr="00063228">
        <w:rPr>
          <w:rFonts w:ascii="Verdana" w:eastAsia="Verdana" w:hAnsi="Verdana" w:cs="Verdana"/>
          <w:lang w:val="en-GB"/>
        </w:rPr>
        <w:t>t</w:t>
      </w:r>
      <w:r>
        <w:rPr>
          <w:rFonts w:ascii="Verdana" w:eastAsia="Verdana" w:hAnsi="Verdana" w:cs="Verdana"/>
          <w:lang w:val="en-GB"/>
        </w:rPr>
        <w:t>i</w:t>
      </w:r>
      <w:r w:rsidR="0663AD9E" w:rsidRPr="00063228">
        <w:rPr>
          <w:rFonts w:ascii="Verdana" w:eastAsia="Verdana" w:hAnsi="Verdana" w:cs="Verdana"/>
          <w:lang w:val="en-GB"/>
        </w:rPr>
        <w:t>tu</w:t>
      </w:r>
      <w:r>
        <w:rPr>
          <w:rFonts w:ascii="Verdana" w:eastAsia="Verdana" w:hAnsi="Verdana" w:cs="Verdana"/>
          <w:lang w:val="en-GB"/>
        </w:rPr>
        <w:t xml:space="preserve">te of Political Sciences </w:t>
      </w:r>
      <w:r w:rsidR="00C27CD5">
        <w:rPr>
          <w:rFonts w:ascii="Verdana" w:eastAsia="Verdana" w:hAnsi="Verdana" w:cs="Verdana"/>
          <w:lang w:val="en-GB"/>
        </w:rPr>
        <w:t>form</w:t>
      </w:r>
      <w:r>
        <w:rPr>
          <w:rFonts w:ascii="Verdana" w:eastAsia="Verdana" w:hAnsi="Verdana" w:cs="Verdana"/>
          <w:lang w:val="en-GB"/>
        </w:rPr>
        <w:t xml:space="preserve"> detailed executive provision</w:t>
      </w:r>
      <w:r w:rsidR="00A467C2">
        <w:rPr>
          <w:rFonts w:ascii="Verdana" w:eastAsia="Verdana" w:hAnsi="Verdana" w:cs="Verdana"/>
          <w:lang w:val="en-GB"/>
        </w:rPr>
        <w:t>s</w:t>
      </w:r>
      <w:r>
        <w:rPr>
          <w:rFonts w:ascii="Verdana" w:eastAsia="Verdana" w:hAnsi="Verdana" w:cs="Verdana"/>
          <w:lang w:val="en-GB"/>
        </w:rPr>
        <w:t xml:space="preserve"> </w:t>
      </w:r>
      <w:r w:rsidR="00C27CD5">
        <w:rPr>
          <w:rFonts w:ascii="Verdana" w:eastAsia="Verdana" w:hAnsi="Verdana" w:cs="Verdana"/>
          <w:lang w:val="en-GB"/>
        </w:rPr>
        <w:t>pursuant to</w:t>
      </w:r>
      <w:r>
        <w:rPr>
          <w:rFonts w:ascii="Verdana" w:eastAsia="Verdana" w:hAnsi="Verdana" w:cs="Verdana"/>
          <w:lang w:val="en-GB"/>
        </w:rPr>
        <w:t xml:space="preserve"> </w:t>
      </w:r>
      <w:r w:rsidR="00A467C2" w:rsidRPr="00A467C2">
        <w:rPr>
          <w:rFonts w:ascii="Verdana" w:eastAsia="Verdana" w:hAnsi="Verdana" w:cs="Verdana"/>
          <w:lang w:val="en-GB"/>
        </w:rPr>
        <w:t xml:space="preserve">the Resolution no. 68/2024 of the Senate of the University of Wrocław of the 24 April 2024 concerning </w:t>
      </w:r>
      <w:r w:rsidR="00C27CD5">
        <w:rPr>
          <w:rFonts w:ascii="Verdana" w:eastAsia="Verdana" w:hAnsi="Verdana" w:cs="Verdana"/>
          <w:lang w:val="en-GB"/>
        </w:rPr>
        <w:t>R</w:t>
      </w:r>
      <w:r w:rsidR="00A467C2" w:rsidRPr="00A467C2">
        <w:rPr>
          <w:rFonts w:ascii="Verdana" w:eastAsia="Verdana" w:hAnsi="Verdana" w:cs="Verdana"/>
          <w:lang w:val="en-GB"/>
        </w:rPr>
        <w:t xml:space="preserve">ules and </w:t>
      </w:r>
      <w:r w:rsidR="00C27CD5">
        <w:rPr>
          <w:rFonts w:ascii="Verdana" w:eastAsia="Verdana" w:hAnsi="Verdana" w:cs="Verdana"/>
          <w:lang w:val="en-GB"/>
        </w:rPr>
        <w:t>R</w:t>
      </w:r>
      <w:r w:rsidR="00A467C2" w:rsidRPr="00A467C2">
        <w:rPr>
          <w:rFonts w:ascii="Verdana" w:eastAsia="Verdana" w:hAnsi="Verdana" w:cs="Verdana"/>
          <w:lang w:val="en-GB"/>
        </w:rPr>
        <w:t xml:space="preserve">egulations for </w:t>
      </w:r>
      <w:r w:rsidR="00C27CD5">
        <w:rPr>
          <w:rFonts w:ascii="Verdana" w:eastAsia="Verdana" w:hAnsi="Verdana" w:cs="Verdana"/>
          <w:lang w:val="en-GB"/>
        </w:rPr>
        <w:t>S</w:t>
      </w:r>
      <w:r w:rsidR="00A467C2" w:rsidRPr="00A467C2">
        <w:rPr>
          <w:rFonts w:ascii="Verdana" w:eastAsia="Verdana" w:hAnsi="Verdana" w:cs="Verdana"/>
          <w:lang w:val="en-GB"/>
        </w:rPr>
        <w:t>tudies at the University of Wrocław</w:t>
      </w:r>
      <w:r w:rsidR="38886406" w:rsidRPr="00063228">
        <w:rPr>
          <w:rFonts w:ascii="Verdana" w:eastAsia="Verdana" w:hAnsi="Verdana" w:cs="Verdana"/>
          <w:lang w:val="en-GB"/>
        </w:rPr>
        <w:t xml:space="preserve">, </w:t>
      </w:r>
      <w:r w:rsidR="00A467C2">
        <w:rPr>
          <w:rFonts w:ascii="Verdana" w:eastAsia="Verdana" w:hAnsi="Verdana" w:cs="Verdana"/>
          <w:lang w:val="en-GB"/>
        </w:rPr>
        <w:t xml:space="preserve">pursuant to par. </w:t>
      </w:r>
      <w:r w:rsidR="38886406" w:rsidRPr="00063228">
        <w:rPr>
          <w:rFonts w:ascii="Verdana" w:eastAsia="Verdana" w:hAnsi="Verdana" w:cs="Verdana"/>
          <w:lang w:val="en-GB"/>
        </w:rPr>
        <w:t>58.1. t</w:t>
      </w:r>
      <w:r w:rsidR="00A467C2">
        <w:rPr>
          <w:rFonts w:ascii="Verdana" w:eastAsia="Verdana" w:hAnsi="Verdana" w:cs="Verdana"/>
          <w:lang w:val="en-GB"/>
        </w:rPr>
        <w:t>hereof</w:t>
      </w:r>
      <w:r w:rsidR="38886406" w:rsidRPr="00063228">
        <w:rPr>
          <w:rFonts w:ascii="Verdana" w:eastAsia="Verdana" w:hAnsi="Verdana" w:cs="Verdana"/>
          <w:lang w:val="en-GB"/>
        </w:rPr>
        <w:t>.</w:t>
      </w:r>
    </w:p>
    <w:p w14:paraId="43949F79" w14:textId="5D84A8C9" w:rsidR="23A59EF5" w:rsidRPr="00063228" w:rsidRDefault="00A467C2" w:rsidP="0098E32B">
      <w:pPr>
        <w:pStyle w:val="Akapitzlist"/>
        <w:numPr>
          <w:ilvl w:val="0"/>
          <w:numId w:val="3"/>
        </w:numPr>
        <w:rPr>
          <w:rFonts w:ascii="Verdana" w:eastAsia="Verdana" w:hAnsi="Verdana" w:cs="Verdana"/>
          <w:lang w:val="en-GB"/>
        </w:rPr>
      </w:pPr>
      <w:r>
        <w:rPr>
          <w:rFonts w:ascii="Verdana" w:eastAsia="Verdana" w:hAnsi="Verdana" w:cs="Verdana"/>
          <w:lang w:val="en-GB"/>
        </w:rPr>
        <w:t>A graduation thesis is defined as a B.A. or M.A. thesis</w:t>
      </w:r>
      <w:r w:rsidR="33177D92" w:rsidRPr="00063228">
        <w:rPr>
          <w:rFonts w:ascii="Verdana" w:eastAsia="Verdana" w:hAnsi="Verdana" w:cs="Verdana"/>
          <w:lang w:val="en-GB"/>
        </w:rPr>
        <w:t>.</w:t>
      </w:r>
    </w:p>
    <w:p w14:paraId="6B00FAED" w14:textId="6BE6C72A" w:rsidR="23A59EF5" w:rsidRPr="00063228" w:rsidRDefault="00A467C2" w:rsidP="0098E32B">
      <w:pPr>
        <w:pStyle w:val="Akapitzlist"/>
        <w:numPr>
          <w:ilvl w:val="0"/>
          <w:numId w:val="3"/>
        </w:numPr>
        <w:rPr>
          <w:rFonts w:ascii="Verdana" w:eastAsia="Verdana" w:hAnsi="Verdana" w:cs="Verdana"/>
          <w:lang w:val="en-GB"/>
        </w:rPr>
      </w:pPr>
      <w:r>
        <w:rPr>
          <w:rFonts w:ascii="Verdana" w:eastAsia="Verdana" w:hAnsi="Verdana" w:cs="Verdana"/>
          <w:lang w:val="en-GB"/>
        </w:rPr>
        <w:t>The terms of the graduation process concern graduation at the following majors: 1</w:t>
      </w:r>
      <w:r w:rsidRPr="00A467C2">
        <w:rPr>
          <w:rFonts w:ascii="Verdana" w:eastAsia="Verdana" w:hAnsi="Verdana" w:cs="Verdana"/>
          <w:vertAlign w:val="superscript"/>
          <w:lang w:val="en-GB"/>
        </w:rPr>
        <w:t>st</w:t>
      </w:r>
      <w:r>
        <w:rPr>
          <w:rFonts w:ascii="Verdana" w:eastAsia="Verdana" w:hAnsi="Verdana" w:cs="Verdana"/>
          <w:lang w:val="en-GB"/>
        </w:rPr>
        <w:t>- and 2</w:t>
      </w:r>
      <w:r w:rsidRPr="00A467C2">
        <w:rPr>
          <w:rFonts w:ascii="Verdana" w:eastAsia="Verdana" w:hAnsi="Verdana" w:cs="Verdana"/>
          <w:vertAlign w:val="superscript"/>
          <w:lang w:val="en-GB"/>
        </w:rPr>
        <w:t>nd</w:t>
      </w:r>
      <w:r>
        <w:rPr>
          <w:rFonts w:ascii="Verdana" w:eastAsia="Verdana" w:hAnsi="Verdana" w:cs="Verdana"/>
          <w:lang w:val="en-GB"/>
        </w:rPr>
        <w:t>-cycle</w:t>
      </w:r>
      <w:r w:rsidR="33177D92" w:rsidRPr="00063228">
        <w:rPr>
          <w:rFonts w:ascii="Verdana" w:eastAsia="Verdana" w:hAnsi="Verdana" w:cs="Verdana"/>
          <w:lang w:val="en-GB"/>
        </w:rPr>
        <w:t xml:space="preserve"> Polit</w:t>
      </w:r>
      <w:r>
        <w:rPr>
          <w:rFonts w:ascii="Verdana" w:eastAsia="Verdana" w:hAnsi="Verdana" w:cs="Verdana"/>
          <w:lang w:val="en-GB"/>
        </w:rPr>
        <w:t>ical Science in Polish, 1</w:t>
      </w:r>
      <w:r w:rsidRPr="00A467C2">
        <w:rPr>
          <w:rFonts w:ascii="Verdana" w:eastAsia="Verdana" w:hAnsi="Verdana" w:cs="Verdana"/>
          <w:vertAlign w:val="superscript"/>
          <w:lang w:val="en-GB"/>
        </w:rPr>
        <w:t>st</w:t>
      </w:r>
      <w:r>
        <w:rPr>
          <w:rFonts w:ascii="Verdana" w:eastAsia="Verdana" w:hAnsi="Verdana" w:cs="Verdana"/>
          <w:lang w:val="en-GB"/>
        </w:rPr>
        <w:t>- and 2</w:t>
      </w:r>
      <w:r w:rsidRPr="00A467C2">
        <w:rPr>
          <w:rFonts w:ascii="Verdana" w:eastAsia="Verdana" w:hAnsi="Verdana" w:cs="Verdana"/>
          <w:vertAlign w:val="superscript"/>
          <w:lang w:val="en-GB"/>
        </w:rPr>
        <w:t>nd</w:t>
      </w:r>
      <w:r>
        <w:rPr>
          <w:rFonts w:ascii="Verdana" w:eastAsia="Verdana" w:hAnsi="Verdana" w:cs="Verdana"/>
          <w:lang w:val="en-GB"/>
        </w:rPr>
        <w:t>-cycle</w:t>
      </w:r>
      <w:r w:rsidRPr="00063228">
        <w:rPr>
          <w:rFonts w:ascii="Verdana" w:eastAsia="Verdana" w:hAnsi="Verdana" w:cs="Verdana"/>
          <w:lang w:val="en-GB"/>
        </w:rPr>
        <w:t xml:space="preserve"> </w:t>
      </w:r>
      <w:r>
        <w:rPr>
          <w:rFonts w:ascii="Verdana" w:eastAsia="Verdana" w:hAnsi="Verdana" w:cs="Verdana"/>
          <w:lang w:val="en-GB"/>
        </w:rPr>
        <w:t>Poli</w:t>
      </w:r>
      <w:r w:rsidR="33177D92" w:rsidRPr="00063228">
        <w:rPr>
          <w:rFonts w:ascii="Verdana" w:eastAsia="Verdana" w:hAnsi="Verdana" w:cs="Verdana"/>
          <w:lang w:val="en-GB"/>
        </w:rPr>
        <w:t xml:space="preserve">tical Science </w:t>
      </w:r>
      <w:r>
        <w:rPr>
          <w:rFonts w:ascii="Verdana" w:eastAsia="Verdana" w:hAnsi="Verdana" w:cs="Verdana"/>
          <w:lang w:val="en-GB"/>
        </w:rPr>
        <w:t>in English, 1</w:t>
      </w:r>
      <w:r w:rsidRPr="00A467C2">
        <w:rPr>
          <w:rFonts w:ascii="Verdana" w:eastAsia="Verdana" w:hAnsi="Verdana" w:cs="Verdana"/>
          <w:vertAlign w:val="superscript"/>
          <w:lang w:val="en-GB"/>
        </w:rPr>
        <w:t>st</w:t>
      </w:r>
      <w:r>
        <w:rPr>
          <w:rFonts w:ascii="Verdana" w:eastAsia="Verdana" w:hAnsi="Verdana" w:cs="Verdana"/>
          <w:lang w:val="en-GB"/>
        </w:rPr>
        <w:t>- and 2</w:t>
      </w:r>
      <w:r w:rsidRPr="00A467C2">
        <w:rPr>
          <w:rFonts w:ascii="Verdana" w:eastAsia="Verdana" w:hAnsi="Verdana" w:cs="Verdana"/>
          <w:vertAlign w:val="superscript"/>
          <w:lang w:val="en-GB"/>
        </w:rPr>
        <w:t>nd</w:t>
      </w:r>
      <w:r>
        <w:rPr>
          <w:rFonts w:ascii="Verdana" w:eastAsia="Verdana" w:hAnsi="Verdana" w:cs="Verdana"/>
          <w:lang w:val="en-GB"/>
        </w:rPr>
        <w:t>-cycle</w:t>
      </w:r>
      <w:r w:rsidRPr="00063228">
        <w:rPr>
          <w:rFonts w:ascii="Verdana" w:eastAsia="Verdana" w:hAnsi="Verdana" w:cs="Verdana"/>
          <w:lang w:val="en-GB"/>
        </w:rPr>
        <w:t xml:space="preserve"> </w:t>
      </w:r>
      <w:r>
        <w:rPr>
          <w:rFonts w:ascii="Verdana" w:eastAsia="Verdana" w:hAnsi="Verdana" w:cs="Verdana"/>
          <w:lang w:val="en-GB"/>
        </w:rPr>
        <w:t>Social Projects Management in Polish, as well as 2</w:t>
      </w:r>
      <w:r w:rsidRPr="00A467C2">
        <w:rPr>
          <w:rFonts w:ascii="Verdana" w:eastAsia="Verdana" w:hAnsi="Verdana" w:cs="Verdana"/>
          <w:vertAlign w:val="superscript"/>
          <w:lang w:val="en-GB"/>
        </w:rPr>
        <w:t>nd</w:t>
      </w:r>
      <w:r>
        <w:rPr>
          <w:rFonts w:ascii="Verdana" w:eastAsia="Verdana" w:hAnsi="Verdana" w:cs="Verdana"/>
          <w:lang w:val="en-GB"/>
        </w:rPr>
        <w:t>-cycle</w:t>
      </w:r>
      <w:r w:rsidR="33177D92" w:rsidRPr="00063228">
        <w:rPr>
          <w:rFonts w:ascii="Verdana" w:eastAsia="Verdana" w:hAnsi="Verdana" w:cs="Verdana"/>
          <w:lang w:val="en-GB"/>
        </w:rPr>
        <w:t xml:space="preserve"> </w:t>
      </w:r>
      <w:r>
        <w:rPr>
          <w:rFonts w:ascii="Verdana" w:eastAsia="Verdana" w:hAnsi="Verdana" w:cs="Verdana"/>
          <w:lang w:val="en-GB"/>
        </w:rPr>
        <w:t>Management of State Security, organised at the Institute of Political Science</w:t>
      </w:r>
      <w:r w:rsidR="33177D92" w:rsidRPr="00063228">
        <w:rPr>
          <w:rFonts w:ascii="Verdana" w:eastAsia="Verdana" w:hAnsi="Verdana" w:cs="Verdana"/>
          <w:lang w:val="en-GB"/>
        </w:rPr>
        <w:t>.</w:t>
      </w:r>
    </w:p>
    <w:p w14:paraId="53066545" w14:textId="536B07EE" w:rsidR="23A59EF5" w:rsidRPr="00063228" w:rsidRDefault="23A59EF5" w:rsidP="0098E32B">
      <w:pPr>
        <w:pStyle w:val="Akapitzlist"/>
        <w:rPr>
          <w:rFonts w:ascii="Verdana" w:eastAsia="Verdana" w:hAnsi="Verdana" w:cs="Verdana"/>
          <w:lang w:val="en-GB"/>
        </w:rPr>
      </w:pPr>
    </w:p>
    <w:p w14:paraId="00F1A49F" w14:textId="14F9F6F1" w:rsidR="23A59EF5" w:rsidRPr="00063228" w:rsidRDefault="00A467C2" w:rsidP="0098E32B">
      <w:pPr>
        <w:pStyle w:val="Akapitzlist"/>
        <w:numPr>
          <w:ilvl w:val="0"/>
          <w:numId w:val="4"/>
        </w:numPr>
        <w:rPr>
          <w:rFonts w:ascii="Verdana" w:eastAsia="Verdana" w:hAnsi="Verdana" w:cs="Verdana"/>
          <w:b/>
          <w:bCs/>
          <w:lang w:val="en-GB"/>
        </w:rPr>
      </w:pPr>
      <w:r>
        <w:rPr>
          <w:rFonts w:ascii="Verdana" w:eastAsia="Verdana" w:hAnsi="Verdana" w:cs="Verdana"/>
          <w:b/>
          <w:bCs/>
          <w:lang w:val="en-GB"/>
        </w:rPr>
        <w:t>Preparation of the graduation thesis</w:t>
      </w:r>
    </w:p>
    <w:p w14:paraId="1074E392" w14:textId="206C952E" w:rsidR="30450989" w:rsidRPr="00063228" w:rsidRDefault="00A467C2"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A graduation thesis is an original elaboration of a scientific or practical question presenting the student’s general knowledge and skills associated with studying at the respective major, cycle and profile, as well as their skills in original analysis and drawing conclusions. A graduation thesis may take the form of a project. </w:t>
      </w:r>
    </w:p>
    <w:p w14:paraId="3FDBC0C0" w14:textId="7D091002" w:rsidR="528E7071" w:rsidRPr="00063228" w:rsidRDefault="00A467C2" w:rsidP="0098E32B">
      <w:pPr>
        <w:pStyle w:val="Akapitzlist"/>
        <w:numPr>
          <w:ilvl w:val="1"/>
          <w:numId w:val="5"/>
        </w:numPr>
        <w:rPr>
          <w:rFonts w:ascii="Verdana" w:eastAsia="Verdana" w:hAnsi="Verdana" w:cs="Verdana"/>
          <w:lang w:val="en-GB"/>
        </w:rPr>
      </w:pPr>
      <w:r>
        <w:rPr>
          <w:rFonts w:ascii="Verdana" w:eastAsia="Verdana" w:hAnsi="Verdana" w:cs="Verdana"/>
          <w:lang w:val="en-GB"/>
        </w:rPr>
        <w:t>The process of writing a graduation thesis is supervised by a supervisor</w:t>
      </w:r>
      <w:r w:rsidR="528E7071" w:rsidRPr="00063228">
        <w:rPr>
          <w:rFonts w:ascii="Verdana" w:eastAsia="Verdana" w:hAnsi="Verdana" w:cs="Verdana"/>
          <w:lang w:val="en-GB"/>
        </w:rPr>
        <w:t xml:space="preserve">. </w:t>
      </w:r>
      <w:r>
        <w:rPr>
          <w:rFonts w:ascii="Verdana" w:eastAsia="Verdana" w:hAnsi="Verdana" w:cs="Verdana"/>
          <w:lang w:val="en-GB"/>
        </w:rPr>
        <w:t>A supervisor of a B.A. thesis m</w:t>
      </w:r>
      <w:r w:rsidR="00C27CD5">
        <w:rPr>
          <w:rFonts w:ascii="Verdana" w:eastAsia="Verdana" w:hAnsi="Verdana" w:cs="Verdana"/>
          <w:lang w:val="en-GB"/>
        </w:rPr>
        <w:t>ust be</w:t>
      </w:r>
      <w:r>
        <w:rPr>
          <w:rFonts w:ascii="Verdana" w:eastAsia="Verdana" w:hAnsi="Verdana" w:cs="Verdana"/>
          <w:lang w:val="en-GB"/>
        </w:rPr>
        <w:t xml:space="preserve"> an employee holding at least a Ph.D</w:t>
      </w:r>
      <w:r w:rsidR="448381FF" w:rsidRPr="00063228">
        <w:rPr>
          <w:rFonts w:ascii="Verdana" w:eastAsia="Verdana" w:hAnsi="Verdana" w:cs="Verdana"/>
          <w:lang w:val="en-GB"/>
        </w:rPr>
        <w:t xml:space="preserve">. </w:t>
      </w:r>
      <w:r>
        <w:rPr>
          <w:rFonts w:ascii="Verdana" w:eastAsia="Verdana" w:hAnsi="Verdana" w:cs="Verdana"/>
          <w:lang w:val="en-GB"/>
        </w:rPr>
        <w:t>A supervisor of an M.A. thesis m</w:t>
      </w:r>
      <w:r w:rsidR="00C27CD5">
        <w:rPr>
          <w:rFonts w:ascii="Verdana" w:eastAsia="Verdana" w:hAnsi="Verdana" w:cs="Verdana"/>
          <w:lang w:val="en-GB"/>
        </w:rPr>
        <w:t>ust</w:t>
      </w:r>
      <w:r>
        <w:rPr>
          <w:rFonts w:ascii="Verdana" w:eastAsia="Verdana" w:hAnsi="Verdana" w:cs="Verdana"/>
          <w:lang w:val="en-GB"/>
        </w:rPr>
        <w:t xml:space="preserve"> be an employee </w:t>
      </w:r>
      <w:r w:rsidR="00C27CD5">
        <w:rPr>
          <w:rFonts w:ascii="Verdana" w:eastAsia="Verdana" w:hAnsi="Verdana" w:cs="Verdana"/>
          <w:lang w:val="en-GB"/>
        </w:rPr>
        <w:t>holding t</w:t>
      </w:r>
      <w:r>
        <w:rPr>
          <w:rFonts w:ascii="Verdana" w:eastAsia="Verdana" w:hAnsi="Verdana" w:cs="Verdana"/>
          <w:lang w:val="en-GB"/>
        </w:rPr>
        <w:t xml:space="preserve">he degree of at least </w:t>
      </w:r>
      <w:proofErr w:type="spellStart"/>
      <w:r>
        <w:rPr>
          <w:rFonts w:ascii="Verdana" w:eastAsia="Verdana" w:hAnsi="Verdana" w:cs="Verdana"/>
          <w:lang w:val="en-GB"/>
        </w:rPr>
        <w:t>d</w:t>
      </w:r>
      <w:r w:rsidR="448381FF" w:rsidRPr="00063228">
        <w:rPr>
          <w:rFonts w:ascii="Verdana" w:eastAsia="Verdana" w:hAnsi="Verdana" w:cs="Verdana"/>
          <w:lang w:val="en-GB"/>
        </w:rPr>
        <w:t>oktor</w:t>
      </w:r>
      <w:proofErr w:type="spellEnd"/>
      <w:r w:rsidR="448381FF" w:rsidRPr="00063228">
        <w:rPr>
          <w:rFonts w:ascii="Verdana" w:eastAsia="Verdana" w:hAnsi="Verdana" w:cs="Verdana"/>
          <w:lang w:val="en-GB"/>
        </w:rPr>
        <w:t xml:space="preserve"> </w:t>
      </w:r>
      <w:proofErr w:type="spellStart"/>
      <w:r w:rsidR="448381FF" w:rsidRPr="00063228">
        <w:rPr>
          <w:rFonts w:ascii="Verdana" w:eastAsia="Verdana" w:hAnsi="Verdana" w:cs="Verdana"/>
          <w:lang w:val="en-GB"/>
        </w:rPr>
        <w:t>habilitowan</w:t>
      </w:r>
      <w:r>
        <w:rPr>
          <w:rFonts w:ascii="Verdana" w:eastAsia="Verdana" w:hAnsi="Verdana" w:cs="Verdana"/>
          <w:lang w:val="en-GB"/>
        </w:rPr>
        <w:t>y</w:t>
      </w:r>
      <w:proofErr w:type="spellEnd"/>
      <w:r w:rsidR="448381FF" w:rsidRPr="00063228">
        <w:rPr>
          <w:rFonts w:ascii="Verdana" w:eastAsia="Verdana" w:hAnsi="Verdana" w:cs="Verdana"/>
          <w:lang w:val="en-GB"/>
        </w:rPr>
        <w:t xml:space="preserve">. </w:t>
      </w:r>
      <w:r>
        <w:rPr>
          <w:rFonts w:ascii="Verdana" w:eastAsia="Verdana" w:hAnsi="Verdana" w:cs="Verdana"/>
          <w:lang w:val="en-GB"/>
        </w:rPr>
        <w:t>In grounded cases</w:t>
      </w:r>
      <w:r w:rsidR="00F71F56">
        <w:rPr>
          <w:rFonts w:ascii="Verdana" w:eastAsia="Verdana" w:hAnsi="Verdana" w:cs="Verdana"/>
          <w:lang w:val="en-GB"/>
        </w:rPr>
        <w:t>,</w:t>
      </w:r>
      <w:r>
        <w:rPr>
          <w:rFonts w:ascii="Verdana" w:eastAsia="Verdana" w:hAnsi="Verdana" w:cs="Verdana"/>
          <w:lang w:val="en-GB"/>
        </w:rPr>
        <w:t xml:space="preserve"> a student may prepare an M.A. thesis supervised by an employee </w:t>
      </w:r>
      <w:r w:rsidR="00C27CD5">
        <w:rPr>
          <w:rFonts w:ascii="Verdana" w:eastAsia="Verdana" w:hAnsi="Verdana" w:cs="Verdana"/>
          <w:lang w:val="en-GB"/>
        </w:rPr>
        <w:t>holding</w:t>
      </w:r>
      <w:r>
        <w:rPr>
          <w:rFonts w:ascii="Verdana" w:eastAsia="Verdana" w:hAnsi="Verdana" w:cs="Verdana"/>
          <w:lang w:val="en-GB"/>
        </w:rPr>
        <w:t xml:space="preserve"> the degree of Ph.D., upon consent of the Vice-Director of the Institute of Political Science for Education. </w:t>
      </w:r>
    </w:p>
    <w:p w14:paraId="263ECCC6" w14:textId="74580D3D" w:rsidR="394BD938" w:rsidRPr="00063228" w:rsidRDefault="00A467C2" w:rsidP="0098E32B">
      <w:pPr>
        <w:pStyle w:val="Akapitzlist"/>
        <w:numPr>
          <w:ilvl w:val="1"/>
          <w:numId w:val="5"/>
        </w:numPr>
        <w:rPr>
          <w:rFonts w:ascii="Verdana" w:eastAsia="Verdana" w:hAnsi="Verdana" w:cs="Verdana"/>
          <w:lang w:val="en-GB"/>
        </w:rPr>
      </w:pPr>
      <w:r>
        <w:rPr>
          <w:rFonts w:ascii="Verdana" w:eastAsia="Verdana" w:hAnsi="Verdana" w:cs="Verdana"/>
          <w:lang w:val="en-GB"/>
        </w:rPr>
        <w:t>Preparation of a B.A. thesis lasts two terms (5</w:t>
      </w:r>
      <w:r w:rsidRPr="00A467C2">
        <w:rPr>
          <w:rFonts w:ascii="Verdana" w:eastAsia="Verdana" w:hAnsi="Verdana" w:cs="Verdana"/>
          <w:vertAlign w:val="superscript"/>
          <w:lang w:val="en-GB"/>
        </w:rPr>
        <w:t>th</w:t>
      </w:r>
      <w:r>
        <w:rPr>
          <w:rFonts w:ascii="Verdana" w:eastAsia="Verdana" w:hAnsi="Verdana" w:cs="Verdana"/>
          <w:lang w:val="en-GB"/>
        </w:rPr>
        <w:t xml:space="preserve"> and</w:t>
      </w:r>
      <w:r w:rsidR="448381FF" w:rsidRPr="00063228">
        <w:rPr>
          <w:rFonts w:ascii="Verdana" w:eastAsia="Verdana" w:hAnsi="Verdana" w:cs="Verdana"/>
          <w:lang w:val="en-GB"/>
        </w:rPr>
        <w:t xml:space="preserve"> </w:t>
      </w:r>
      <w:r>
        <w:rPr>
          <w:rFonts w:ascii="Verdana" w:eastAsia="Verdana" w:hAnsi="Verdana" w:cs="Verdana"/>
          <w:lang w:val="en-GB"/>
        </w:rPr>
        <w:t>6</w:t>
      </w:r>
      <w:r w:rsidRPr="00A467C2">
        <w:rPr>
          <w:rFonts w:ascii="Verdana" w:eastAsia="Verdana" w:hAnsi="Verdana" w:cs="Verdana"/>
          <w:vertAlign w:val="superscript"/>
          <w:lang w:val="en-GB"/>
        </w:rPr>
        <w:t>th</w:t>
      </w:r>
      <w:r>
        <w:rPr>
          <w:rFonts w:ascii="Verdana" w:eastAsia="Verdana" w:hAnsi="Verdana" w:cs="Verdana"/>
          <w:lang w:val="en-GB"/>
        </w:rPr>
        <w:t xml:space="preserve"> term of studies), and an M.A. thesis – three terms</w:t>
      </w:r>
      <w:r w:rsidR="448381FF" w:rsidRPr="00063228">
        <w:rPr>
          <w:rFonts w:ascii="Verdana" w:eastAsia="Verdana" w:hAnsi="Verdana" w:cs="Verdana"/>
          <w:lang w:val="en-GB"/>
        </w:rPr>
        <w:t xml:space="preserve"> (</w:t>
      </w:r>
      <w:r>
        <w:rPr>
          <w:rFonts w:ascii="Verdana" w:eastAsia="Verdana" w:hAnsi="Verdana" w:cs="Verdana"/>
          <w:lang w:val="en-GB"/>
        </w:rPr>
        <w:t>2</w:t>
      </w:r>
      <w:r w:rsidRPr="00A467C2">
        <w:rPr>
          <w:rFonts w:ascii="Verdana" w:eastAsia="Verdana" w:hAnsi="Verdana" w:cs="Verdana"/>
          <w:vertAlign w:val="superscript"/>
          <w:lang w:val="en-GB"/>
        </w:rPr>
        <w:t>nd</w:t>
      </w:r>
      <w:r>
        <w:rPr>
          <w:rFonts w:ascii="Verdana" w:eastAsia="Verdana" w:hAnsi="Verdana" w:cs="Verdana"/>
          <w:lang w:val="en-GB"/>
        </w:rPr>
        <w:t>, 3</w:t>
      </w:r>
      <w:r w:rsidRPr="00A467C2">
        <w:rPr>
          <w:rFonts w:ascii="Verdana" w:eastAsia="Verdana" w:hAnsi="Verdana" w:cs="Verdana"/>
          <w:vertAlign w:val="superscript"/>
          <w:lang w:val="en-GB"/>
        </w:rPr>
        <w:t>rd</w:t>
      </w:r>
      <w:r>
        <w:rPr>
          <w:rFonts w:ascii="Verdana" w:eastAsia="Verdana" w:hAnsi="Verdana" w:cs="Verdana"/>
          <w:lang w:val="en-GB"/>
        </w:rPr>
        <w:t xml:space="preserve"> and 4</w:t>
      </w:r>
      <w:r w:rsidRPr="00A467C2">
        <w:rPr>
          <w:rFonts w:ascii="Verdana" w:eastAsia="Verdana" w:hAnsi="Verdana" w:cs="Verdana"/>
          <w:vertAlign w:val="superscript"/>
          <w:lang w:val="en-GB"/>
        </w:rPr>
        <w:t>th</w:t>
      </w:r>
      <w:r>
        <w:rPr>
          <w:rFonts w:ascii="Verdana" w:eastAsia="Verdana" w:hAnsi="Verdana" w:cs="Verdana"/>
          <w:lang w:val="en-GB"/>
        </w:rPr>
        <w:t xml:space="preserve"> term of studies). </w:t>
      </w:r>
    </w:p>
    <w:p w14:paraId="2107105B" w14:textId="4CB6F17E" w:rsidR="394BD938" w:rsidRPr="00063228" w:rsidRDefault="00A467C2" w:rsidP="0C781221">
      <w:pPr>
        <w:pStyle w:val="Akapitzlist"/>
        <w:numPr>
          <w:ilvl w:val="1"/>
          <w:numId w:val="5"/>
        </w:numPr>
        <w:rPr>
          <w:rFonts w:ascii="Verdana" w:eastAsia="Verdana" w:hAnsi="Verdana" w:cs="Verdana"/>
          <w:lang w:val="en-GB"/>
        </w:rPr>
      </w:pPr>
      <w:r>
        <w:rPr>
          <w:rFonts w:ascii="Verdana" w:eastAsia="Verdana" w:hAnsi="Verdana" w:cs="Verdana"/>
          <w:lang w:val="en-GB"/>
        </w:rPr>
        <w:t>Preparation of B.A. theses and M.A. theses of students who began studies in</w:t>
      </w:r>
      <w:r w:rsidR="0896250A" w:rsidRPr="00063228">
        <w:rPr>
          <w:rFonts w:ascii="Verdana" w:eastAsia="Verdana" w:hAnsi="Verdana" w:cs="Verdana"/>
          <w:lang w:val="en-GB"/>
        </w:rPr>
        <w:t xml:space="preserve"> 2022/2023 </w:t>
      </w:r>
      <w:r>
        <w:rPr>
          <w:rFonts w:ascii="Verdana" w:eastAsia="Verdana" w:hAnsi="Verdana" w:cs="Verdana"/>
          <w:lang w:val="en-GB"/>
        </w:rPr>
        <w:t>and</w:t>
      </w:r>
      <w:r w:rsidR="0896250A" w:rsidRPr="00063228">
        <w:rPr>
          <w:rFonts w:ascii="Verdana" w:eastAsia="Verdana" w:hAnsi="Verdana" w:cs="Verdana"/>
          <w:lang w:val="en-GB"/>
        </w:rPr>
        <w:t xml:space="preserve"> 2023/2024 </w:t>
      </w:r>
      <w:r>
        <w:rPr>
          <w:rFonts w:ascii="Verdana" w:eastAsia="Verdana" w:hAnsi="Verdana" w:cs="Verdana"/>
          <w:lang w:val="en-GB"/>
        </w:rPr>
        <w:t xml:space="preserve">is organised in seminars of thematic specialty defined by the instructor. Students choose a seminar from among the list of seminars </w:t>
      </w:r>
      <w:r>
        <w:rPr>
          <w:rFonts w:ascii="Verdana" w:eastAsia="Verdana" w:hAnsi="Verdana" w:cs="Verdana"/>
          <w:lang w:val="en-GB"/>
        </w:rPr>
        <w:lastRenderedPageBreak/>
        <w:t xml:space="preserve">provided by the Vice-Director of the Institute of Political Science for education. In grounded cases, a student may be </w:t>
      </w:r>
      <w:r w:rsidR="00F71F56">
        <w:rPr>
          <w:rFonts w:ascii="Verdana" w:eastAsia="Verdana" w:hAnsi="Verdana" w:cs="Verdana"/>
          <w:lang w:val="en-GB"/>
        </w:rPr>
        <w:t>supervised by an employee on i</w:t>
      </w:r>
      <w:r>
        <w:rPr>
          <w:rFonts w:ascii="Verdana" w:eastAsia="Verdana" w:hAnsi="Verdana" w:cs="Verdana"/>
          <w:lang w:val="en-GB"/>
        </w:rPr>
        <w:t xml:space="preserve">ndividual </w:t>
      </w:r>
      <w:r w:rsidR="00F71F56">
        <w:rPr>
          <w:rFonts w:ascii="Verdana" w:eastAsia="Verdana" w:hAnsi="Verdana" w:cs="Verdana"/>
          <w:lang w:val="en-GB"/>
        </w:rPr>
        <w:t>terms</w:t>
      </w:r>
      <w:r>
        <w:rPr>
          <w:rFonts w:ascii="Verdana" w:eastAsia="Verdana" w:hAnsi="Verdana" w:cs="Verdana"/>
          <w:lang w:val="en-GB"/>
        </w:rPr>
        <w:t xml:space="preserve"> upon a consent of the Director of the Institute of Political Science and the Dean. </w:t>
      </w:r>
    </w:p>
    <w:p w14:paraId="44AA11AA" w14:textId="215B51C2" w:rsidR="394BD938" w:rsidRPr="00063228" w:rsidRDefault="0896250A" w:rsidP="0098E32B">
      <w:pPr>
        <w:pStyle w:val="Akapitzlist"/>
        <w:numPr>
          <w:ilvl w:val="1"/>
          <w:numId w:val="5"/>
        </w:numPr>
        <w:rPr>
          <w:rFonts w:ascii="Verdana" w:eastAsia="Verdana" w:hAnsi="Verdana" w:cs="Verdana"/>
          <w:lang w:val="en-GB"/>
        </w:rPr>
      </w:pPr>
      <w:r w:rsidRPr="00063228">
        <w:rPr>
          <w:rFonts w:ascii="Verdana" w:eastAsia="Verdana" w:hAnsi="Verdana" w:cs="Verdana"/>
          <w:lang w:val="en-GB"/>
        </w:rPr>
        <w:t>Pr</w:t>
      </w:r>
      <w:r w:rsidR="00A467C2">
        <w:rPr>
          <w:rFonts w:ascii="Verdana" w:eastAsia="Verdana" w:hAnsi="Verdana" w:cs="Verdana"/>
          <w:lang w:val="en-GB"/>
        </w:rPr>
        <w:t xml:space="preserve">eparation of B.A. </w:t>
      </w:r>
      <w:r w:rsidR="00012EFB">
        <w:rPr>
          <w:rFonts w:ascii="Verdana" w:eastAsia="Verdana" w:hAnsi="Verdana" w:cs="Verdana"/>
          <w:lang w:val="en-GB"/>
        </w:rPr>
        <w:t xml:space="preserve">and M.A. theses of students who began their studies in </w:t>
      </w:r>
      <w:r w:rsidRPr="00063228">
        <w:rPr>
          <w:rFonts w:ascii="Verdana" w:eastAsia="Verdana" w:hAnsi="Verdana" w:cs="Verdana"/>
          <w:lang w:val="en-GB"/>
        </w:rPr>
        <w:t xml:space="preserve">2024/2025 </w:t>
      </w:r>
      <w:r w:rsidR="00012EFB">
        <w:rPr>
          <w:rFonts w:ascii="Verdana" w:eastAsia="Verdana" w:hAnsi="Verdana" w:cs="Verdana"/>
          <w:lang w:val="en-GB"/>
        </w:rPr>
        <w:t>is organised within the individual supervision (course</w:t>
      </w:r>
      <w:r w:rsidR="00C27CD5">
        <w:rPr>
          <w:rFonts w:ascii="Verdana" w:eastAsia="Verdana" w:hAnsi="Verdana" w:cs="Verdana"/>
          <w:lang w:val="en-GB"/>
        </w:rPr>
        <w:t xml:space="preserve"> titled</w:t>
      </w:r>
      <w:r w:rsidRPr="00063228">
        <w:rPr>
          <w:rFonts w:ascii="Verdana" w:eastAsia="Verdana" w:hAnsi="Verdana" w:cs="Verdana"/>
          <w:lang w:val="en-GB"/>
        </w:rPr>
        <w:t xml:space="preserve"> </w:t>
      </w:r>
      <w:proofErr w:type="spellStart"/>
      <w:r w:rsidRPr="00063228">
        <w:rPr>
          <w:rFonts w:ascii="Verdana" w:eastAsia="Verdana" w:hAnsi="Verdana" w:cs="Verdana"/>
          <w:lang w:val="en-GB"/>
        </w:rPr>
        <w:t>Praca</w:t>
      </w:r>
      <w:proofErr w:type="spellEnd"/>
      <w:r w:rsidRPr="00063228">
        <w:rPr>
          <w:rFonts w:ascii="Verdana" w:eastAsia="Verdana" w:hAnsi="Verdana" w:cs="Verdana"/>
          <w:lang w:val="en-GB"/>
        </w:rPr>
        <w:t xml:space="preserve"> </w:t>
      </w:r>
      <w:proofErr w:type="spellStart"/>
      <w:r w:rsidRPr="00063228">
        <w:rPr>
          <w:rFonts w:ascii="Verdana" w:eastAsia="Verdana" w:hAnsi="Verdana" w:cs="Verdana"/>
          <w:lang w:val="en-GB"/>
        </w:rPr>
        <w:t>dyplomowa</w:t>
      </w:r>
      <w:proofErr w:type="spellEnd"/>
      <w:r w:rsidR="00F71F56">
        <w:rPr>
          <w:rFonts w:ascii="Verdana" w:eastAsia="Verdana" w:hAnsi="Verdana" w:cs="Verdana"/>
          <w:lang w:val="en-GB"/>
        </w:rPr>
        <w:t xml:space="preserve"> </w:t>
      </w:r>
      <w:r w:rsidRPr="00063228">
        <w:rPr>
          <w:rFonts w:ascii="Verdana" w:eastAsia="Verdana" w:hAnsi="Verdana" w:cs="Verdana"/>
          <w:lang w:val="en-GB"/>
        </w:rPr>
        <w:t>/</w:t>
      </w:r>
      <w:r w:rsidR="4E2B9C85" w:rsidRPr="00063228">
        <w:rPr>
          <w:rFonts w:ascii="Verdana" w:eastAsia="Verdana" w:hAnsi="Verdana" w:cs="Verdana"/>
          <w:lang w:val="en-GB"/>
        </w:rPr>
        <w:t xml:space="preserve"> Diploma thesis</w:t>
      </w:r>
      <w:r w:rsidRPr="00063228">
        <w:rPr>
          <w:rFonts w:ascii="Verdana" w:eastAsia="Verdana" w:hAnsi="Verdana" w:cs="Verdana"/>
          <w:lang w:val="en-GB"/>
        </w:rPr>
        <w:t xml:space="preserve">). </w:t>
      </w:r>
      <w:r w:rsidR="00012EFB">
        <w:rPr>
          <w:rFonts w:ascii="Verdana" w:eastAsia="Verdana" w:hAnsi="Verdana" w:cs="Verdana"/>
          <w:lang w:val="en-GB"/>
        </w:rPr>
        <w:t>Each student chooses a supervisor from the list of supervisors provided by the Vice-Director of the Institute of Politica</w:t>
      </w:r>
      <w:r w:rsidR="00C27CD5">
        <w:rPr>
          <w:rFonts w:ascii="Verdana" w:eastAsia="Verdana" w:hAnsi="Verdana" w:cs="Verdana"/>
          <w:lang w:val="en-GB"/>
        </w:rPr>
        <w:t>l</w:t>
      </w:r>
      <w:r w:rsidR="00012EFB">
        <w:rPr>
          <w:rFonts w:ascii="Verdana" w:eastAsia="Verdana" w:hAnsi="Verdana" w:cs="Verdana"/>
          <w:lang w:val="en-GB"/>
        </w:rPr>
        <w:t xml:space="preserve"> Science for education. </w:t>
      </w:r>
    </w:p>
    <w:p w14:paraId="1E9228A8" w14:textId="51326E18" w:rsidR="448381FF" w:rsidRPr="00063228" w:rsidRDefault="448381FF" w:rsidP="0098E32B">
      <w:pPr>
        <w:pStyle w:val="Akapitzlist"/>
        <w:numPr>
          <w:ilvl w:val="1"/>
          <w:numId w:val="5"/>
        </w:numPr>
        <w:rPr>
          <w:rFonts w:ascii="Verdana" w:eastAsia="Verdana" w:hAnsi="Verdana" w:cs="Verdana"/>
          <w:lang w:val="en-GB"/>
        </w:rPr>
      </w:pPr>
      <w:r w:rsidRPr="00063228">
        <w:rPr>
          <w:rFonts w:ascii="Verdana" w:eastAsia="Verdana" w:hAnsi="Verdana" w:cs="Verdana"/>
          <w:lang w:val="en-GB"/>
        </w:rPr>
        <w:t>T</w:t>
      </w:r>
      <w:r w:rsidR="00012EFB">
        <w:rPr>
          <w:rFonts w:ascii="Verdana" w:eastAsia="Verdana" w:hAnsi="Verdana" w:cs="Verdana"/>
          <w:lang w:val="en-GB"/>
        </w:rPr>
        <w:t>heses’ subjects are determined by the supervisor upon consultation with the students, and then they are submitted to Council of the Institute for approval</w:t>
      </w:r>
      <w:r w:rsidR="1679C1F6" w:rsidRPr="00063228">
        <w:rPr>
          <w:rFonts w:ascii="Verdana" w:eastAsia="Verdana" w:hAnsi="Verdana" w:cs="Verdana"/>
          <w:lang w:val="en-GB"/>
        </w:rPr>
        <w:t xml:space="preserve">. </w:t>
      </w:r>
      <w:r w:rsidR="007D3453">
        <w:rPr>
          <w:rFonts w:ascii="Verdana" w:eastAsia="Verdana" w:hAnsi="Verdana" w:cs="Verdana"/>
          <w:lang w:val="en-GB"/>
        </w:rPr>
        <w:t>Subjects of B.A. theses must approved by the Council of the Institute of Political Science and notified to students no later than one term before the planned graduation, and in the case of M.A. studies – no later than two terms before the planned graduation. The final title of the thesis may differ from the approved subject, provided for maintenance of the basic material scope and methods referred to in the subject</w:t>
      </w:r>
      <w:r w:rsidR="438E036A" w:rsidRPr="00063228">
        <w:rPr>
          <w:rFonts w:ascii="Verdana" w:eastAsia="Verdana" w:hAnsi="Verdana" w:cs="Verdana"/>
          <w:lang w:val="en-GB"/>
        </w:rPr>
        <w:t>.</w:t>
      </w:r>
      <w:r w:rsidR="1679C1F6" w:rsidRPr="00063228">
        <w:rPr>
          <w:rFonts w:ascii="Verdana" w:eastAsia="Verdana" w:hAnsi="Verdana" w:cs="Verdana"/>
          <w:lang w:val="en-GB"/>
        </w:rPr>
        <w:t xml:space="preserve"> </w:t>
      </w:r>
      <w:r w:rsidR="77964C09" w:rsidRPr="00063228">
        <w:rPr>
          <w:rFonts w:ascii="Verdana" w:eastAsia="Verdana" w:hAnsi="Verdana" w:cs="Verdana"/>
          <w:lang w:val="en-GB"/>
        </w:rPr>
        <w:t>T</w:t>
      </w:r>
      <w:r w:rsidR="007D3453">
        <w:rPr>
          <w:rFonts w:ascii="Verdana" w:eastAsia="Verdana" w:hAnsi="Verdana" w:cs="Verdana"/>
          <w:lang w:val="en-GB"/>
        </w:rPr>
        <w:t xml:space="preserve">he subjects should concern the discipline of political science and administration and conform to the curriculum studied by the student. </w:t>
      </w:r>
    </w:p>
    <w:p w14:paraId="12130126" w14:textId="65ADD8E4" w:rsidR="312C3EB8" w:rsidRPr="00063228" w:rsidRDefault="007D3453"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The supervisor defines criteria of completing the course within which the graduation thesis is prepared, separately for each term and detailed requirements for graduation theses, and they notify students of the criteria and requirements. </w:t>
      </w:r>
    </w:p>
    <w:p w14:paraId="44CC4EC4" w14:textId="2231DE04" w:rsidR="4A744C47" w:rsidRPr="00063228" w:rsidRDefault="4A744C47" w:rsidP="4A744C47">
      <w:pPr>
        <w:pStyle w:val="Akapitzlist"/>
        <w:ind w:left="1440"/>
        <w:rPr>
          <w:rFonts w:ascii="Verdana" w:eastAsia="Verdana" w:hAnsi="Verdana" w:cs="Verdana"/>
          <w:lang w:val="en-GB"/>
        </w:rPr>
      </w:pPr>
    </w:p>
    <w:p w14:paraId="3DD86AC2" w14:textId="7138793C" w:rsidR="23A59EF5" w:rsidRPr="00063228" w:rsidRDefault="007D3453" w:rsidP="0098E32B">
      <w:pPr>
        <w:pStyle w:val="Akapitzlist"/>
        <w:numPr>
          <w:ilvl w:val="0"/>
          <w:numId w:val="5"/>
        </w:numPr>
        <w:rPr>
          <w:rFonts w:ascii="Verdana" w:eastAsia="Verdana" w:hAnsi="Verdana" w:cs="Verdana"/>
          <w:b/>
          <w:bCs/>
          <w:lang w:val="en-GB"/>
        </w:rPr>
      </w:pPr>
      <w:r>
        <w:rPr>
          <w:rFonts w:ascii="Verdana" w:eastAsia="Verdana" w:hAnsi="Verdana" w:cs="Verdana"/>
          <w:b/>
          <w:bCs/>
          <w:lang w:val="en-GB"/>
        </w:rPr>
        <w:t xml:space="preserve">Requirements concerning graduation theses </w:t>
      </w:r>
    </w:p>
    <w:p w14:paraId="06DAF819" w14:textId="1B3CDAD4" w:rsidR="5333F31B" w:rsidRPr="00063228" w:rsidRDefault="007D3453" w:rsidP="0098E32B">
      <w:pPr>
        <w:pStyle w:val="Akapitzlist"/>
        <w:numPr>
          <w:ilvl w:val="1"/>
          <w:numId w:val="5"/>
        </w:numPr>
        <w:rPr>
          <w:rFonts w:ascii="Verdana" w:eastAsia="Verdana" w:hAnsi="Verdana" w:cs="Verdana"/>
          <w:lang w:val="en-GB"/>
        </w:rPr>
      </w:pPr>
      <w:r>
        <w:rPr>
          <w:rFonts w:ascii="Verdana" w:eastAsia="Verdana" w:hAnsi="Verdana" w:cs="Verdana"/>
          <w:lang w:val="en-GB"/>
        </w:rPr>
        <w:t>A B.A. or M.A. thesis must confirm achievement by the student of the planned learning outcomes</w:t>
      </w:r>
      <w:r w:rsidR="00C27CD5">
        <w:rPr>
          <w:rFonts w:ascii="Verdana" w:eastAsia="Verdana" w:hAnsi="Verdana" w:cs="Verdana"/>
          <w:lang w:val="en-GB"/>
        </w:rPr>
        <w:t>,</w:t>
      </w:r>
      <w:r>
        <w:rPr>
          <w:rFonts w:ascii="Verdana" w:eastAsia="Verdana" w:hAnsi="Verdana" w:cs="Verdana"/>
          <w:lang w:val="en-GB"/>
        </w:rPr>
        <w:t xml:space="preserve"> and document the student’s skills in analysing scientific literature and independent thinking</w:t>
      </w:r>
      <w:r w:rsidR="5333F31B" w:rsidRPr="00063228">
        <w:rPr>
          <w:rFonts w:ascii="Verdana" w:eastAsia="Verdana" w:hAnsi="Verdana" w:cs="Verdana"/>
          <w:lang w:val="en-GB"/>
        </w:rPr>
        <w:t xml:space="preserve">. </w:t>
      </w:r>
      <w:r>
        <w:rPr>
          <w:rFonts w:ascii="Verdana" w:eastAsia="Verdana" w:hAnsi="Verdana" w:cs="Verdana"/>
          <w:lang w:val="en-GB"/>
        </w:rPr>
        <w:t xml:space="preserve">The thesis should be written in the language of the curriculum. </w:t>
      </w:r>
    </w:p>
    <w:p w14:paraId="083DCC42" w14:textId="32BF7379" w:rsidR="76EFA561" w:rsidRPr="00063228" w:rsidRDefault="007D3453" w:rsidP="0098E32B">
      <w:pPr>
        <w:pStyle w:val="Akapitzlist"/>
        <w:numPr>
          <w:ilvl w:val="1"/>
          <w:numId w:val="5"/>
        </w:numPr>
        <w:rPr>
          <w:rFonts w:ascii="Verdana" w:eastAsia="Verdana" w:hAnsi="Verdana" w:cs="Verdana"/>
          <w:lang w:val="en-GB"/>
        </w:rPr>
      </w:pPr>
      <w:r>
        <w:rPr>
          <w:rFonts w:ascii="Verdana" w:eastAsia="Verdana" w:hAnsi="Verdana" w:cs="Verdana"/>
          <w:lang w:val="en-GB"/>
        </w:rPr>
        <w:t>A B.A. thesis concerns a single selected issue, considering its social and political context. An M.A. thesis refers to complex phenomena and considers a broader social and political background</w:t>
      </w:r>
      <w:r w:rsidR="76EFA561" w:rsidRPr="00063228">
        <w:rPr>
          <w:rFonts w:ascii="Verdana" w:eastAsia="Verdana" w:hAnsi="Verdana" w:cs="Verdana"/>
          <w:lang w:val="en-GB"/>
        </w:rPr>
        <w:t>.</w:t>
      </w:r>
    </w:p>
    <w:p w14:paraId="09D2CDD2" w14:textId="6D837994" w:rsidR="54090848" w:rsidRPr="00063228" w:rsidRDefault="007D3453" w:rsidP="0098E32B">
      <w:pPr>
        <w:pStyle w:val="Akapitzlist"/>
        <w:numPr>
          <w:ilvl w:val="1"/>
          <w:numId w:val="5"/>
        </w:numPr>
        <w:rPr>
          <w:rFonts w:ascii="Verdana" w:eastAsia="Verdana" w:hAnsi="Verdana" w:cs="Verdana"/>
          <w:lang w:val="en-GB"/>
        </w:rPr>
      </w:pPr>
      <w:r>
        <w:rPr>
          <w:rFonts w:ascii="Verdana" w:eastAsia="Verdana" w:hAnsi="Verdana" w:cs="Verdana"/>
          <w:lang w:val="en-GB"/>
        </w:rPr>
        <w:t>A thesis must be a result of the student’s independent work</w:t>
      </w:r>
      <w:r w:rsidR="54090848" w:rsidRPr="00063228">
        <w:rPr>
          <w:rFonts w:ascii="Verdana" w:eastAsia="Verdana" w:hAnsi="Verdana" w:cs="Verdana"/>
          <w:lang w:val="en-GB"/>
        </w:rPr>
        <w:t xml:space="preserve">. </w:t>
      </w:r>
      <w:r>
        <w:rPr>
          <w:rFonts w:ascii="Verdana" w:eastAsia="Verdana" w:hAnsi="Verdana" w:cs="Verdana"/>
          <w:lang w:val="en-GB"/>
        </w:rPr>
        <w:t xml:space="preserve">Above all, plagiarism and ghost writing are forbidden. Any </w:t>
      </w:r>
      <w:r>
        <w:rPr>
          <w:rFonts w:ascii="Verdana" w:eastAsia="Verdana" w:hAnsi="Verdana" w:cs="Verdana"/>
          <w:lang w:val="en-GB"/>
        </w:rPr>
        <w:lastRenderedPageBreak/>
        <w:t xml:space="preserve">materials included in the thesis (including charts, tables and </w:t>
      </w:r>
      <w:r w:rsidR="00C27CD5">
        <w:rPr>
          <w:rFonts w:ascii="Verdana" w:eastAsia="Verdana" w:hAnsi="Verdana" w:cs="Verdana"/>
          <w:lang w:val="en-GB"/>
        </w:rPr>
        <w:t>material</w:t>
      </w:r>
      <w:r>
        <w:rPr>
          <w:rFonts w:ascii="Verdana" w:eastAsia="Verdana" w:hAnsi="Verdana" w:cs="Verdana"/>
          <w:lang w:val="en-GB"/>
        </w:rPr>
        <w:t>s prepared using artificial intelligence tools) should be correctly marked, indicating the source</w:t>
      </w:r>
      <w:r w:rsidR="3AA230A6" w:rsidRPr="00063228">
        <w:rPr>
          <w:rFonts w:ascii="Verdana" w:eastAsia="Verdana" w:hAnsi="Verdana" w:cs="Verdana"/>
          <w:lang w:val="en-GB"/>
        </w:rPr>
        <w:t xml:space="preserve">. </w:t>
      </w:r>
    </w:p>
    <w:p w14:paraId="7F064954" w14:textId="59FD7F32" w:rsidR="54090848" w:rsidRPr="00063228" w:rsidRDefault="007D3453"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The supervisor verifies and discusses with the student </w:t>
      </w:r>
      <w:r w:rsidR="005C5085">
        <w:rPr>
          <w:rFonts w:ascii="Verdana" w:eastAsia="Verdana" w:hAnsi="Verdana" w:cs="Verdana"/>
          <w:lang w:val="en-GB"/>
        </w:rPr>
        <w:t xml:space="preserve">the </w:t>
      </w:r>
      <w:r>
        <w:rPr>
          <w:rFonts w:ascii="Verdana" w:eastAsia="Verdana" w:hAnsi="Verdana" w:cs="Verdana"/>
          <w:lang w:val="en-GB"/>
        </w:rPr>
        <w:t>progress of the thesis on the regular basis</w:t>
      </w:r>
      <w:r w:rsidR="00C27CD5">
        <w:rPr>
          <w:rFonts w:ascii="Verdana" w:eastAsia="Verdana" w:hAnsi="Verdana" w:cs="Verdana"/>
          <w:lang w:val="en-GB"/>
        </w:rPr>
        <w:t>,</w:t>
      </w:r>
      <w:r>
        <w:rPr>
          <w:rFonts w:ascii="Verdana" w:eastAsia="Verdana" w:hAnsi="Verdana" w:cs="Verdana"/>
          <w:lang w:val="en-GB"/>
        </w:rPr>
        <w:t xml:space="preserve"> and then decides to release the thesis for defence. The supervisor assesses the anti-plagiarism report generated by the Uniform Anti-plagiarism System. </w:t>
      </w:r>
    </w:p>
    <w:p w14:paraId="670CB630" w14:textId="69E18B3F" w:rsidR="0B1E4448" w:rsidRPr="00063228" w:rsidRDefault="00826242" w:rsidP="4A744C47">
      <w:pPr>
        <w:pStyle w:val="Akapitzlist"/>
        <w:numPr>
          <w:ilvl w:val="1"/>
          <w:numId w:val="5"/>
        </w:numPr>
        <w:rPr>
          <w:rFonts w:ascii="Verdana" w:eastAsia="Verdana" w:hAnsi="Verdana" w:cs="Verdana"/>
          <w:lang w:val="en-GB"/>
        </w:rPr>
      </w:pPr>
      <w:r>
        <w:rPr>
          <w:rFonts w:ascii="Verdana" w:eastAsia="Verdana" w:hAnsi="Verdana" w:cs="Verdana"/>
          <w:lang w:val="en-GB"/>
        </w:rPr>
        <w:t>The thesis should contain a complete discussion of the selected issue, references and bibliography</w:t>
      </w:r>
      <w:r w:rsidR="2A4CCA03" w:rsidRPr="00063228">
        <w:rPr>
          <w:rFonts w:ascii="Verdana" w:eastAsia="Verdana" w:hAnsi="Verdana" w:cs="Verdana"/>
          <w:lang w:val="en-GB"/>
        </w:rPr>
        <w:t xml:space="preserve">. </w:t>
      </w:r>
      <w:r>
        <w:rPr>
          <w:rFonts w:ascii="Verdana" w:eastAsia="Verdana" w:hAnsi="Verdana" w:cs="Verdana"/>
          <w:lang w:val="en-GB"/>
        </w:rPr>
        <w:t xml:space="preserve">It should meet quality and technical requirements for scientific works. The title page must include the information indicated on the template title page provided by the Dean’s Office of the Faculty of Social Sciences. </w:t>
      </w:r>
    </w:p>
    <w:p w14:paraId="457EFD07" w14:textId="57105F86" w:rsidR="4A744C47" w:rsidRPr="00063228" w:rsidRDefault="4A744C47" w:rsidP="4A744C47">
      <w:pPr>
        <w:pStyle w:val="Akapitzlist"/>
        <w:ind w:left="1440"/>
        <w:rPr>
          <w:rFonts w:ascii="Verdana" w:eastAsia="Verdana" w:hAnsi="Verdana" w:cs="Verdana"/>
          <w:lang w:val="en-GB"/>
        </w:rPr>
      </w:pPr>
    </w:p>
    <w:p w14:paraId="4087BCDF" w14:textId="72812123" w:rsidR="23A59EF5" w:rsidRPr="00063228" w:rsidRDefault="00826242" w:rsidP="0098E32B">
      <w:pPr>
        <w:pStyle w:val="Akapitzlist"/>
        <w:numPr>
          <w:ilvl w:val="0"/>
          <w:numId w:val="5"/>
        </w:numPr>
        <w:rPr>
          <w:rFonts w:ascii="Verdana" w:eastAsia="Verdana" w:hAnsi="Verdana" w:cs="Verdana"/>
          <w:b/>
          <w:bCs/>
          <w:lang w:val="en-GB"/>
        </w:rPr>
      </w:pPr>
      <w:r>
        <w:rPr>
          <w:rFonts w:ascii="Verdana" w:eastAsia="Verdana" w:hAnsi="Verdana" w:cs="Verdana"/>
          <w:b/>
          <w:bCs/>
          <w:lang w:val="en-GB"/>
        </w:rPr>
        <w:t xml:space="preserve">Conditions of taking the graduation exam </w:t>
      </w:r>
    </w:p>
    <w:p w14:paraId="788839DC" w14:textId="3EECA8BE" w:rsidR="77D5E135" w:rsidRPr="00063228" w:rsidRDefault="00826242"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To be allowed to take the graduation exam, the student must: </w:t>
      </w:r>
    </w:p>
    <w:p w14:paraId="40472A47" w14:textId="56D11735" w:rsidR="23A59EF5" w:rsidRPr="00063228" w:rsidRDefault="00826242" w:rsidP="4A744C47">
      <w:pPr>
        <w:pStyle w:val="Akapitzlist"/>
        <w:numPr>
          <w:ilvl w:val="2"/>
          <w:numId w:val="5"/>
        </w:numPr>
        <w:rPr>
          <w:rFonts w:ascii="Verdana" w:eastAsia="Verdana" w:hAnsi="Verdana" w:cs="Verdana"/>
          <w:lang w:val="en-GB"/>
        </w:rPr>
      </w:pPr>
      <w:r>
        <w:rPr>
          <w:rFonts w:ascii="Verdana" w:eastAsia="Verdana" w:hAnsi="Verdana" w:cs="Verdana"/>
          <w:lang w:val="en-GB"/>
        </w:rPr>
        <w:t>complete all obligatory courses within the respective curriculum and obtain the required number of ECTS credits</w:t>
      </w:r>
      <w:r w:rsidR="699828EC" w:rsidRPr="00063228">
        <w:rPr>
          <w:rFonts w:ascii="Verdana" w:eastAsia="Verdana" w:hAnsi="Verdana" w:cs="Verdana"/>
          <w:lang w:val="en-GB"/>
        </w:rPr>
        <w:t>;</w:t>
      </w:r>
    </w:p>
    <w:p w14:paraId="6464732B" w14:textId="522A8958" w:rsidR="23A59EF5" w:rsidRPr="00063228" w:rsidRDefault="00826242" w:rsidP="4A744C47">
      <w:pPr>
        <w:pStyle w:val="Akapitzlist"/>
        <w:numPr>
          <w:ilvl w:val="2"/>
          <w:numId w:val="5"/>
        </w:numPr>
        <w:rPr>
          <w:rFonts w:ascii="Verdana" w:eastAsia="Verdana" w:hAnsi="Verdana" w:cs="Verdana"/>
          <w:lang w:val="en-GB"/>
        </w:rPr>
      </w:pPr>
      <w:r>
        <w:rPr>
          <w:rFonts w:ascii="Verdana" w:eastAsia="Verdana" w:hAnsi="Verdana" w:cs="Verdana"/>
          <w:lang w:val="en-GB"/>
        </w:rPr>
        <w:t xml:space="preserve">obtain at least satisfactory grade for the graduation thesis; </w:t>
      </w:r>
    </w:p>
    <w:p w14:paraId="5B798DDE" w14:textId="17E5BAB7" w:rsidR="23A59EF5" w:rsidRPr="00063228" w:rsidRDefault="00826242" w:rsidP="4A744C47">
      <w:pPr>
        <w:pStyle w:val="Akapitzlist"/>
        <w:numPr>
          <w:ilvl w:val="2"/>
          <w:numId w:val="5"/>
        </w:numPr>
        <w:rPr>
          <w:rFonts w:ascii="Verdana" w:eastAsia="Verdana" w:hAnsi="Verdana" w:cs="Verdana"/>
          <w:lang w:val="en-GB"/>
        </w:rPr>
      </w:pPr>
      <w:r>
        <w:rPr>
          <w:rFonts w:ascii="Verdana" w:eastAsia="Verdana" w:hAnsi="Verdana" w:cs="Verdana"/>
          <w:lang w:val="en-GB"/>
        </w:rPr>
        <w:t xml:space="preserve">settle all </w:t>
      </w:r>
      <w:r w:rsidR="00C27CD5">
        <w:rPr>
          <w:rFonts w:ascii="Verdana" w:eastAsia="Verdana" w:hAnsi="Verdana" w:cs="Verdana"/>
          <w:lang w:val="en-GB"/>
        </w:rPr>
        <w:t xml:space="preserve">obligations toward the University, </w:t>
      </w:r>
      <w:r>
        <w:rPr>
          <w:rFonts w:ascii="Verdana" w:eastAsia="Verdana" w:hAnsi="Verdana" w:cs="Verdana"/>
          <w:lang w:val="en-GB"/>
        </w:rPr>
        <w:t>including financial liabilities and obligations to the library</w:t>
      </w:r>
      <w:r w:rsidR="699828EC" w:rsidRPr="00063228">
        <w:rPr>
          <w:rFonts w:ascii="Verdana" w:eastAsia="Verdana" w:hAnsi="Verdana" w:cs="Verdana"/>
          <w:lang w:val="en-GB"/>
        </w:rPr>
        <w:t xml:space="preserve">, </w:t>
      </w:r>
      <w:r>
        <w:rPr>
          <w:rFonts w:ascii="Verdana" w:eastAsia="Verdana" w:hAnsi="Verdana" w:cs="Verdana"/>
          <w:lang w:val="en-GB"/>
        </w:rPr>
        <w:t>at least</w:t>
      </w:r>
      <w:r w:rsidR="699828EC" w:rsidRPr="00063228">
        <w:rPr>
          <w:rFonts w:ascii="Verdana" w:eastAsia="Verdana" w:hAnsi="Verdana" w:cs="Verdana"/>
          <w:lang w:val="en-GB"/>
        </w:rPr>
        <w:t xml:space="preserve"> 3 d</w:t>
      </w:r>
      <w:r>
        <w:rPr>
          <w:rFonts w:ascii="Verdana" w:eastAsia="Verdana" w:hAnsi="Verdana" w:cs="Verdana"/>
          <w:lang w:val="en-GB"/>
        </w:rPr>
        <w:t>ays before taking the graduation exam</w:t>
      </w:r>
      <w:r w:rsidR="699828EC" w:rsidRPr="00063228">
        <w:rPr>
          <w:rFonts w:ascii="Verdana" w:eastAsia="Verdana" w:hAnsi="Verdana" w:cs="Verdana"/>
          <w:lang w:val="en-GB"/>
        </w:rPr>
        <w:t>.</w:t>
      </w:r>
    </w:p>
    <w:p w14:paraId="583E9B41" w14:textId="3D2D2D30" w:rsidR="4A744C47" w:rsidRPr="00063228" w:rsidRDefault="4A744C47" w:rsidP="4A744C47">
      <w:pPr>
        <w:pStyle w:val="Akapitzlist"/>
        <w:ind w:left="2160"/>
        <w:rPr>
          <w:rFonts w:ascii="Verdana" w:eastAsia="Verdana" w:hAnsi="Verdana" w:cs="Verdana"/>
          <w:lang w:val="en-GB"/>
        </w:rPr>
      </w:pPr>
    </w:p>
    <w:p w14:paraId="39AFBF26" w14:textId="5C107732" w:rsidR="23A59EF5" w:rsidRPr="00063228" w:rsidRDefault="00826242" w:rsidP="0098E32B">
      <w:pPr>
        <w:pStyle w:val="Akapitzlist"/>
        <w:numPr>
          <w:ilvl w:val="0"/>
          <w:numId w:val="5"/>
        </w:numPr>
        <w:rPr>
          <w:rFonts w:ascii="Verdana" w:eastAsia="Verdana" w:hAnsi="Verdana" w:cs="Verdana"/>
          <w:b/>
          <w:bCs/>
          <w:lang w:val="en-GB"/>
        </w:rPr>
      </w:pPr>
      <w:r>
        <w:rPr>
          <w:rFonts w:ascii="Verdana" w:eastAsia="Verdana" w:hAnsi="Verdana" w:cs="Verdana"/>
          <w:b/>
          <w:bCs/>
          <w:lang w:val="en-GB"/>
        </w:rPr>
        <w:t xml:space="preserve">Terms of appointing reviewers </w:t>
      </w:r>
    </w:p>
    <w:p w14:paraId="0AC13497" w14:textId="703B40C7" w:rsidR="23A59EF5" w:rsidRPr="00063228" w:rsidRDefault="00826242" w:rsidP="0098E32B">
      <w:pPr>
        <w:pStyle w:val="Akapitzlist"/>
        <w:numPr>
          <w:ilvl w:val="1"/>
          <w:numId w:val="1"/>
        </w:numPr>
        <w:rPr>
          <w:rFonts w:ascii="Verdana" w:eastAsia="Verdana" w:hAnsi="Verdana" w:cs="Verdana"/>
          <w:lang w:val="en-GB"/>
        </w:rPr>
      </w:pPr>
      <w:r>
        <w:rPr>
          <w:rFonts w:ascii="Verdana" w:eastAsia="Verdana" w:hAnsi="Verdana" w:cs="Verdana"/>
          <w:lang w:val="en-GB"/>
        </w:rPr>
        <w:t>The reviewer is selected by the supervisor of the graduation thesis</w:t>
      </w:r>
      <w:r w:rsidR="2383EAA5" w:rsidRPr="00063228">
        <w:rPr>
          <w:rFonts w:ascii="Verdana" w:eastAsia="Verdana" w:hAnsi="Verdana" w:cs="Verdana"/>
          <w:lang w:val="en-GB"/>
        </w:rPr>
        <w:t xml:space="preserve">. </w:t>
      </w:r>
      <w:r>
        <w:rPr>
          <w:rFonts w:ascii="Verdana" w:eastAsia="Verdana" w:hAnsi="Verdana" w:cs="Verdana"/>
          <w:lang w:val="en-GB"/>
        </w:rPr>
        <w:t xml:space="preserve">The reviewer should hold knowledge and skills allowing objective and diligent professional assessment of the graduation thesis. </w:t>
      </w:r>
    </w:p>
    <w:p w14:paraId="56096A53" w14:textId="1E1FFA9F" w:rsidR="23A59EF5" w:rsidRPr="00063228" w:rsidRDefault="00826242" w:rsidP="0098E32B">
      <w:pPr>
        <w:pStyle w:val="Akapitzlist"/>
        <w:numPr>
          <w:ilvl w:val="1"/>
          <w:numId w:val="1"/>
        </w:numPr>
        <w:rPr>
          <w:rFonts w:ascii="Verdana" w:eastAsia="Verdana" w:hAnsi="Verdana" w:cs="Verdana"/>
          <w:lang w:val="en-GB"/>
        </w:rPr>
      </w:pPr>
      <w:r>
        <w:rPr>
          <w:rFonts w:ascii="Verdana" w:eastAsia="Verdana" w:hAnsi="Verdana" w:cs="Verdana"/>
          <w:lang w:val="en-GB"/>
        </w:rPr>
        <w:t xml:space="preserve">The role of the reviewer can be assigned to an employee holding at least a Ph.D., </w:t>
      </w:r>
      <w:r w:rsidR="00C27CD5">
        <w:rPr>
          <w:rFonts w:ascii="Verdana" w:eastAsia="Verdana" w:hAnsi="Verdana" w:cs="Verdana"/>
          <w:lang w:val="en-GB"/>
        </w:rPr>
        <w:t>provided that</w:t>
      </w:r>
      <w:r>
        <w:rPr>
          <w:rFonts w:ascii="Verdana" w:eastAsia="Verdana" w:hAnsi="Verdana" w:cs="Verdana"/>
          <w:lang w:val="en-GB"/>
        </w:rPr>
        <w:t xml:space="preserve"> an M.A. thesis must be reviewed by at least one employee holding the degree of </w:t>
      </w:r>
      <w:proofErr w:type="spellStart"/>
      <w:r>
        <w:rPr>
          <w:rFonts w:ascii="Verdana" w:eastAsia="Verdana" w:hAnsi="Verdana" w:cs="Verdana"/>
          <w:lang w:val="en-GB"/>
        </w:rPr>
        <w:t>dok</w:t>
      </w:r>
      <w:r w:rsidR="63448EA3" w:rsidRPr="00063228">
        <w:rPr>
          <w:rFonts w:ascii="Verdana" w:eastAsia="Verdana" w:hAnsi="Verdana" w:cs="Verdana"/>
          <w:lang w:val="en-GB"/>
        </w:rPr>
        <w:t>tor</w:t>
      </w:r>
      <w:proofErr w:type="spellEnd"/>
      <w:r w:rsidR="63448EA3" w:rsidRPr="00063228">
        <w:rPr>
          <w:rFonts w:ascii="Verdana" w:eastAsia="Verdana" w:hAnsi="Verdana" w:cs="Verdana"/>
          <w:lang w:val="en-GB"/>
        </w:rPr>
        <w:t xml:space="preserve"> </w:t>
      </w:r>
      <w:proofErr w:type="spellStart"/>
      <w:r w:rsidR="63448EA3" w:rsidRPr="00063228">
        <w:rPr>
          <w:rFonts w:ascii="Verdana" w:eastAsia="Verdana" w:hAnsi="Verdana" w:cs="Verdana"/>
          <w:lang w:val="en-GB"/>
        </w:rPr>
        <w:t>habilitowan</w:t>
      </w:r>
      <w:r>
        <w:rPr>
          <w:rFonts w:ascii="Verdana" w:eastAsia="Verdana" w:hAnsi="Verdana" w:cs="Verdana"/>
          <w:lang w:val="en-GB"/>
        </w:rPr>
        <w:t>y</w:t>
      </w:r>
      <w:proofErr w:type="spellEnd"/>
      <w:r w:rsidR="63448EA3" w:rsidRPr="00063228">
        <w:rPr>
          <w:rFonts w:ascii="Verdana" w:eastAsia="Verdana" w:hAnsi="Verdana" w:cs="Verdana"/>
          <w:lang w:val="en-GB"/>
        </w:rPr>
        <w:t>.</w:t>
      </w:r>
    </w:p>
    <w:p w14:paraId="48223D37" w14:textId="17C42C59" w:rsidR="090146F5" w:rsidRPr="00063228" w:rsidRDefault="00826242" w:rsidP="0C781221">
      <w:pPr>
        <w:pStyle w:val="Akapitzlist"/>
        <w:numPr>
          <w:ilvl w:val="1"/>
          <w:numId w:val="1"/>
        </w:numPr>
        <w:rPr>
          <w:rFonts w:ascii="Verdana" w:eastAsia="Verdana" w:hAnsi="Verdana" w:cs="Verdana"/>
          <w:lang w:val="en-GB"/>
        </w:rPr>
      </w:pPr>
      <w:r>
        <w:rPr>
          <w:rFonts w:ascii="Verdana" w:eastAsia="Verdana" w:hAnsi="Verdana" w:cs="Verdana"/>
          <w:lang w:val="en-GB"/>
        </w:rPr>
        <w:t xml:space="preserve">Correctness of the selection of reviewers is verified by the Team for Assessment of the Quality of Education at the Institute of Political Science. </w:t>
      </w:r>
    </w:p>
    <w:p w14:paraId="0864AB20" w14:textId="69AE91C6" w:rsidR="4A744C47" w:rsidRPr="00063228" w:rsidRDefault="4A744C47" w:rsidP="4A744C47">
      <w:pPr>
        <w:pStyle w:val="Akapitzlist"/>
        <w:ind w:left="1800"/>
        <w:rPr>
          <w:rFonts w:ascii="Verdana" w:eastAsia="Verdana" w:hAnsi="Verdana" w:cs="Verdana"/>
          <w:lang w:val="en-GB"/>
        </w:rPr>
      </w:pPr>
    </w:p>
    <w:p w14:paraId="1F5EB13D" w14:textId="427A8A0A" w:rsidR="0C781221" w:rsidRDefault="0C781221" w:rsidP="0C781221">
      <w:pPr>
        <w:pStyle w:val="Akapitzlist"/>
        <w:ind w:left="1800"/>
        <w:rPr>
          <w:rFonts w:ascii="Verdana" w:eastAsia="Verdana" w:hAnsi="Verdana" w:cs="Verdana"/>
          <w:lang w:val="en-GB"/>
        </w:rPr>
      </w:pPr>
    </w:p>
    <w:p w14:paraId="2D8DB9C3" w14:textId="77777777" w:rsidR="00C27CD5" w:rsidRDefault="00C27CD5" w:rsidP="0C781221">
      <w:pPr>
        <w:pStyle w:val="Akapitzlist"/>
        <w:ind w:left="1800"/>
        <w:rPr>
          <w:rFonts w:ascii="Verdana" w:eastAsia="Verdana" w:hAnsi="Verdana" w:cs="Verdana"/>
          <w:lang w:val="en-GB"/>
        </w:rPr>
      </w:pPr>
    </w:p>
    <w:p w14:paraId="23DCFC8F" w14:textId="77777777" w:rsidR="00C27CD5" w:rsidRPr="00063228" w:rsidRDefault="00C27CD5" w:rsidP="0C781221">
      <w:pPr>
        <w:pStyle w:val="Akapitzlist"/>
        <w:ind w:left="1800"/>
        <w:rPr>
          <w:rFonts w:ascii="Verdana" w:eastAsia="Verdana" w:hAnsi="Verdana" w:cs="Verdana"/>
          <w:lang w:val="en-GB"/>
        </w:rPr>
      </w:pPr>
    </w:p>
    <w:p w14:paraId="30BD7202" w14:textId="1BFAA826" w:rsidR="23A59EF5" w:rsidRPr="00063228" w:rsidRDefault="00826242" w:rsidP="0098E32B">
      <w:pPr>
        <w:pStyle w:val="Akapitzlist"/>
        <w:numPr>
          <w:ilvl w:val="0"/>
          <w:numId w:val="5"/>
        </w:numPr>
        <w:rPr>
          <w:rFonts w:ascii="Verdana" w:eastAsia="Verdana" w:hAnsi="Verdana" w:cs="Verdana"/>
          <w:b/>
          <w:bCs/>
          <w:lang w:val="en-GB"/>
        </w:rPr>
      </w:pPr>
      <w:r>
        <w:rPr>
          <w:rFonts w:ascii="Verdana" w:eastAsia="Verdana" w:hAnsi="Verdana" w:cs="Verdana"/>
          <w:b/>
          <w:bCs/>
          <w:lang w:val="en-GB"/>
        </w:rPr>
        <w:t>Graduation exam</w:t>
      </w:r>
    </w:p>
    <w:p w14:paraId="240484E9" w14:textId="333DBF42" w:rsidR="06ABA326" w:rsidRPr="00063228" w:rsidRDefault="00826242" w:rsidP="3B338494">
      <w:pPr>
        <w:pStyle w:val="Akapitzlist"/>
        <w:numPr>
          <w:ilvl w:val="1"/>
          <w:numId w:val="5"/>
        </w:numPr>
        <w:rPr>
          <w:rFonts w:ascii="Verdana" w:eastAsia="Verdana" w:hAnsi="Verdana" w:cs="Verdana"/>
          <w:lang w:val="en-GB"/>
        </w:rPr>
      </w:pPr>
      <w:r>
        <w:rPr>
          <w:rFonts w:ascii="Verdana" w:eastAsia="Verdana" w:hAnsi="Verdana" w:cs="Verdana"/>
          <w:lang w:val="en-GB"/>
        </w:rPr>
        <w:t>The graduation exam is taken before a commission including the thesis supervisor, reviewer and chairperson of the commission. The role of the chairperson can be assigned to an employee holding at least the degree of</w:t>
      </w:r>
      <w:r w:rsidR="1C1964AC" w:rsidRPr="00063228">
        <w:rPr>
          <w:rFonts w:ascii="Verdana" w:eastAsia="Verdana" w:hAnsi="Verdana" w:cs="Verdana"/>
          <w:lang w:val="en-GB"/>
        </w:rPr>
        <w:t xml:space="preserve"> </w:t>
      </w:r>
      <w:proofErr w:type="spellStart"/>
      <w:r w:rsidR="1C1964AC" w:rsidRPr="00063228">
        <w:rPr>
          <w:rFonts w:ascii="Verdana" w:eastAsia="Verdana" w:hAnsi="Verdana" w:cs="Verdana"/>
          <w:lang w:val="en-GB"/>
        </w:rPr>
        <w:t>doktor</w:t>
      </w:r>
      <w:proofErr w:type="spellEnd"/>
      <w:r w:rsidR="1C1964AC" w:rsidRPr="00063228">
        <w:rPr>
          <w:rFonts w:ascii="Verdana" w:eastAsia="Verdana" w:hAnsi="Verdana" w:cs="Verdana"/>
          <w:lang w:val="en-GB"/>
        </w:rPr>
        <w:t xml:space="preserve"> </w:t>
      </w:r>
      <w:proofErr w:type="spellStart"/>
      <w:r w:rsidR="1C1964AC" w:rsidRPr="00063228">
        <w:rPr>
          <w:rFonts w:ascii="Verdana" w:eastAsia="Verdana" w:hAnsi="Verdana" w:cs="Verdana"/>
          <w:lang w:val="en-GB"/>
        </w:rPr>
        <w:t>habilitowan</w:t>
      </w:r>
      <w:r>
        <w:rPr>
          <w:rFonts w:ascii="Verdana" w:eastAsia="Verdana" w:hAnsi="Verdana" w:cs="Verdana"/>
          <w:lang w:val="en-GB"/>
        </w:rPr>
        <w:t>y</w:t>
      </w:r>
      <w:proofErr w:type="spellEnd"/>
      <w:r w:rsidR="23A59EF5" w:rsidRPr="00063228">
        <w:rPr>
          <w:rFonts w:ascii="Verdana" w:eastAsia="Verdana" w:hAnsi="Verdana" w:cs="Verdana"/>
          <w:lang w:val="en-GB"/>
        </w:rPr>
        <w:t xml:space="preserve">. </w:t>
      </w:r>
      <w:r>
        <w:rPr>
          <w:rFonts w:ascii="Verdana" w:eastAsia="Verdana" w:hAnsi="Verdana" w:cs="Verdana"/>
          <w:lang w:val="en-GB"/>
        </w:rPr>
        <w:t xml:space="preserve">In </w:t>
      </w:r>
      <w:r w:rsidR="004463C4">
        <w:rPr>
          <w:rFonts w:ascii="Verdana" w:eastAsia="Verdana" w:hAnsi="Verdana" w:cs="Verdana"/>
          <w:lang w:val="en-GB"/>
        </w:rPr>
        <w:t xml:space="preserve">the case of justified absence of the supervisor or reviewer, notified in writing to the Dean, the Dean appoints another academic teacher to participate in the graduation exam as replacement. </w:t>
      </w:r>
    </w:p>
    <w:p w14:paraId="52763F8C" w14:textId="21B1F241" w:rsidR="0982690D" w:rsidRPr="00063228" w:rsidRDefault="004463C4" w:rsidP="0C781221">
      <w:pPr>
        <w:pStyle w:val="Akapitzlist"/>
        <w:numPr>
          <w:ilvl w:val="1"/>
          <w:numId w:val="5"/>
        </w:numPr>
        <w:rPr>
          <w:rFonts w:ascii="Verdana" w:eastAsia="Verdana" w:hAnsi="Verdana" w:cs="Verdana"/>
          <w:lang w:val="en-GB"/>
        </w:rPr>
      </w:pPr>
      <w:r>
        <w:rPr>
          <w:rFonts w:ascii="Verdana" w:eastAsia="Verdana" w:hAnsi="Verdana" w:cs="Verdana"/>
          <w:lang w:val="en-GB"/>
        </w:rPr>
        <w:t>The Dean appoints the commission and sets the date of the graduation exam based on an application by the supervisor submitted to the Dean’s Office as a notification of the defence.</w:t>
      </w:r>
      <w:r w:rsidR="05FC009A" w:rsidRPr="00063228">
        <w:rPr>
          <w:rFonts w:ascii="Verdana" w:eastAsia="Verdana" w:hAnsi="Verdana" w:cs="Verdana"/>
          <w:lang w:val="en-GB"/>
        </w:rPr>
        <w:t xml:space="preserve"> </w:t>
      </w:r>
      <w:r>
        <w:rPr>
          <w:rFonts w:ascii="Verdana" w:eastAsia="Verdana" w:hAnsi="Verdana" w:cs="Verdana"/>
          <w:lang w:val="en-GB"/>
        </w:rPr>
        <w:t xml:space="preserve">Before submitting the notification, the supervisor </w:t>
      </w:r>
      <w:r w:rsidR="00C27CD5">
        <w:rPr>
          <w:rFonts w:ascii="Verdana" w:eastAsia="Verdana" w:hAnsi="Verdana" w:cs="Verdana"/>
          <w:lang w:val="en-GB"/>
        </w:rPr>
        <w:t>acquires</w:t>
      </w:r>
      <w:r>
        <w:rPr>
          <w:rFonts w:ascii="Verdana" w:eastAsia="Verdana" w:hAnsi="Verdana" w:cs="Verdana"/>
          <w:lang w:val="en-GB"/>
        </w:rPr>
        <w:t xml:space="preserve"> consent from the reviewer and chairperson concerning their participation and the date of the exam. </w:t>
      </w:r>
    </w:p>
    <w:p w14:paraId="42A1A870" w14:textId="38AD363F" w:rsidR="6C04F151" w:rsidRPr="00063228" w:rsidRDefault="004463C4"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The graduation exam is in the language of the curriculum. </w:t>
      </w:r>
    </w:p>
    <w:p w14:paraId="750F24FE" w14:textId="409DFF19" w:rsidR="4EA51DE5" w:rsidRPr="00063228" w:rsidRDefault="004463C4" w:rsidP="3B338494">
      <w:pPr>
        <w:pStyle w:val="Akapitzlist"/>
        <w:numPr>
          <w:ilvl w:val="1"/>
          <w:numId w:val="5"/>
        </w:numPr>
        <w:rPr>
          <w:rFonts w:ascii="Verdana" w:eastAsia="Verdana" w:hAnsi="Verdana" w:cs="Verdana"/>
          <w:lang w:val="en-GB"/>
        </w:rPr>
      </w:pPr>
      <w:r>
        <w:rPr>
          <w:rFonts w:ascii="Verdana" w:eastAsia="Verdana" w:hAnsi="Verdana" w:cs="Verdana"/>
          <w:lang w:val="en-GB"/>
        </w:rPr>
        <w:t>In grounded cases, upon a written application of the supervisor</w:t>
      </w:r>
      <w:r w:rsidR="4EA51DE5" w:rsidRPr="00063228">
        <w:rPr>
          <w:rFonts w:ascii="Verdana" w:eastAsia="Verdana" w:hAnsi="Verdana" w:cs="Verdana"/>
          <w:lang w:val="en-GB"/>
        </w:rPr>
        <w:t xml:space="preserve">, </w:t>
      </w:r>
      <w:r>
        <w:rPr>
          <w:rFonts w:ascii="Verdana" w:eastAsia="Verdana" w:hAnsi="Verdana" w:cs="Verdana"/>
          <w:lang w:val="en-GB"/>
        </w:rPr>
        <w:t xml:space="preserve">the </w:t>
      </w:r>
      <w:r w:rsidR="4EA51DE5" w:rsidRPr="00063228">
        <w:rPr>
          <w:rFonts w:ascii="Verdana" w:eastAsia="Verdana" w:hAnsi="Verdana" w:cs="Verdana"/>
          <w:lang w:val="en-GB"/>
        </w:rPr>
        <w:t>D</w:t>
      </w:r>
      <w:r>
        <w:rPr>
          <w:rFonts w:ascii="Verdana" w:eastAsia="Verdana" w:hAnsi="Verdana" w:cs="Verdana"/>
          <w:lang w:val="en-GB"/>
        </w:rPr>
        <w:t xml:space="preserve">ean may consent to an online form of the graduation exam according to the binding procedures. </w:t>
      </w:r>
    </w:p>
    <w:p w14:paraId="71997E83" w14:textId="726DAD60" w:rsidR="23A59EF5" w:rsidRPr="00063228" w:rsidRDefault="004463C4" w:rsidP="0098E32B">
      <w:pPr>
        <w:pStyle w:val="Akapitzlist"/>
        <w:numPr>
          <w:ilvl w:val="1"/>
          <w:numId w:val="5"/>
        </w:numPr>
        <w:rPr>
          <w:rFonts w:ascii="Verdana" w:eastAsia="Verdana" w:hAnsi="Verdana" w:cs="Verdana"/>
          <w:lang w:val="en-GB"/>
        </w:rPr>
      </w:pPr>
      <w:r>
        <w:rPr>
          <w:rFonts w:ascii="Verdana" w:eastAsia="Verdana" w:hAnsi="Verdana" w:cs="Verdana"/>
          <w:lang w:val="en-GB"/>
        </w:rPr>
        <w:t>The graduation exam begins with confirmation of the student’s identity. Then, the student presents their graduation thesis</w:t>
      </w:r>
      <w:r w:rsidR="3003595F" w:rsidRPr="00063228">
        <w:rPr>
          <w:rFonts w:ascii="Verdana" w:eastAsia="Verdana" w:hAnsi="Verdana" w:cs="Verdana"/>
          <w:lang w:val="en-GB"/>
        </w:rPr>
        <w:t xml:space="preserve">. </w:t>
      </w:r>
      <w:r>
        <w:rPr>
          <w:rFonts w:ascii="Verdana" w:eastAsia="Verdana" w:hAnsi="Verdana" w:cs="Verdana"/>
          <w:lang w:val="en-GB"/>
        </w:rPr>
        <w:t xml:space="preserve">The supervisor and reviewer read the reviews. The supervisor and reviewer may refrain from reading the reviews, if the student declares that they have read the reviews in the APD system. The student may express their comments concerning the reviews. </w:t>
      </w:r>
    </w:p>
    <w:p w14:paraId="15317D7C" w14:textId="15A406ED" w:rsidR="7FB5CA46" w:rsidRPr="00063228" w:rsidRDefault="004463C4" w:rsidP="0098E32B">
      <w:pPr>
        <w:pStyle w:val="Akapitzlist"/>
        <w:numPr>
          <w:ilvl w:val="1"/>
          <w:numId w:val="5"/>
        </w:numPr>
        <w:rPr>
          <w:rFonts w:ascii="Verdana" w:eastAsia="Verdana" w:hAnsi="Verdana" w:cs="Verdana"/>
          <w:lang w:val="en-GB"/>
        </w:rPr>
      </w:pPr>
      <w:r>
        <w:rPr>
          <w:rFonts w:ascii="Verdana" w:eastAsia="Verdana" w:hAnsi="Verdana" w:cs="Verdana"/>
          <w:lang w:val="en-GB"/>
        </w:rPr>
        <w:t xml:space="preserve">The commission poses three questions to the student, selected so as to meet the following objectives: </w:t>
      </w:r>
    </w:p>
    <w:p w14:paraId="32F2E38F" w14:textId="3E2D05A9" w:rsidR="7FB5CA46" w:rsidRPr="00063228" w:rsidRDefault="67FB6B21" w:rsidP="0098E32B">
      <w:pPr>
        <w:pStyle w:val="Akapitzlist"/>
        <w:numPr>
          <w:ilvl w:val="2"/>
          <w:numId w:val="5"/>
        </w:numPr>
        <w:rPr>
          <w:rFonts w:ascii="Verdana" w:eastAsia="Verdana" w:hAnsi="Verdana" w:cs="Verdana"/>
          <w:lang w:val="en-GB"/>
        </w:rPr>
      </w:pPr>
      <w:r w:rsidRPr="00063228">
        <w:rPr>
          <w:rFonts w:ascii="Verdana" w:eastAsia="Verdana" w:hAnsi="Verdana" w:cs="Verdana"/>
          <w:lang w:val="en-GB"/>
        </w:rPr>
        <w:t>D</w:t>
      </w:r>
      <w:r w:rsidR="004463C4">
        <w:rPr>
          <w:rFonts w:ascii="Verdana" w:eastAsia="Verdana" w:hAnsi="Verdana" w:cs="Verdana"/>
          <w:lang w:val="en-GB"/>
        </w:rPr>
        <w:t>i</w:t>
      </w:r>
      <w:r w:rsidR="1659F988" w:rsidRPr="00063228">
        <w:rPr>
          <w:rFonts w:ascii="Verdana" w:eastAsia="Verdana" w:hAnsi="Verdana" w:cs="Verdana"/>
          <w:lang w:val="en-GB"/>
        </w:rPr>
        <w:t>s</w:t>
      </w:r>
      <w:r w:rsidR="004463C4">
        <w:rPr>
          <w:rFonts w:ascii="Verdana" w:eastAsia="Verdana" w:hAnsi="Verdana" w:cs="Verdana"/>
          <w:lang w:val="en-GB"/>
        </w:rPr>
        <w:t>cussion of the graduation thesis, confirming its original authorship</w:t>
      </w:r>
      <w:r w:rsidR="722D2850" w:rsidRPr="00063228">
        <w:rPr>
          <w:rFonts w:ascii="Verdana" w:eastAsia="Verdana" w:hAnsi="Verdana" w:cs="Verdana"/>
          <w:lang w:val="en-GB"/>
        </w:rPr>
        <w:t xml:space="preserve">. </w:t>
      </w:r>
    </w:p>
    <w:p w14:paraId="2976422B" w14:textId="2BEB49DC" w:rsidR="7FB5CA46" w:rsidRPr="00063228" w:rsidRDefault="004463C4" w:rsidP="0098E32B">
      <w:pPr>
        <w:pStyle w:val="Akapitzlist"/>
        <w:numPr>
          <w:ilvl w:val="2"/>
          <w:numId w:val="5"/>
        </w:numPr>
        <w:rPr>
          <w:rFonts w:ascii="Verdana" w:eastAsia="Verdana" w:hAnsi="Verdana" w:cs="Verdana"/>
          <w:lang w:val="en-GB"/>
        </w:rPr>
      </w:pPr>
      <w:r>
        <w:rPr>
          <w:rFonts w:ascii="Verdana" w:eastAsia="Verdana" w:hAnsi="Verdana" w:cs="Verdana"/>
          <w:lang w:val="en-GB"/>
        </w:rPr>
        <w:t xml:space="preserve">Verification of the level of acquisition of knowledge and skills within the studied major. </w:t>
      </w:r>
    </w:p>
    <w:p w14:paraId="0CCF73BA" w14:textId="31D8EDD5" w:rsidR="7FB5CA46" w:rsidRPr="00063228" w:rsidRDefault="004463C4" w:rsidP="0098E32B">
      <w:pPr>
        <w:pStyle w:val="Akapitzlist"/>
        <w:numPr>
          <w:ilvl w:val="1"/>
          <w:numId w:val="5"/>
        </w:numPr>
        <w:rPr>
          <w:rFonts w:ascii="Verdana" w:eastAsia="Verdana" w:hAnsi="Verdana" w:cs="Verdana"/>
          <w:lang w:val="en-GB"/>
        </w:rPr>
      </w:pPr>
      <w:r>
        <w:rPr>
          <w:rFonts w:ascii="Verdana" w:eastAsia="Verdana" w:hAnsi="Verdana" w:cs="Verdana"/>
          <w:lang w:val="en-GB"/>
        </w:rPr>
        <w:t>After the student answers the question</w:t>
      </w:r>
      <w:r w:rsidR="00C27CD5">
        <w:rPr>
          <w:rFonts w:ascii="Verdana" w:eastAsia="Verdana" w:hAnsi="Verdana" w:cs="Verdana"/>
          <w:lang w:val="en-GB"/>
        </w:rPr>
        <w:t>s</w:t>
      </w:r>
      <w:r>
        <w:rPr>
          <w:rFonts w:ascii="Verdana" w:eastAsia="Verdana" w:hAnsi="Verdana" w:cs="Verdana"/>
          <w:lang w:val="en-GB"/>
        </w:rPr>
        <w:t>, there is a confidential part in which the commission determines grades for individual questions</w:t>
      </w:r>
      <w:r w:rsidR="7FB5CA46" w:rsidRPr="00063228">
        <w:rPr>
          <w:rFonts w:ascii="Verdana" w:eastAsia="Verdana" w:hAnsi="Verdana" w:cs="Verdana"/>
          <w:lang w:val="en-GB"/>
        </w:rPr>
        <w:t xml:space="preserve">, </w:t>
      </w:r>
      <w:r>
        <w:rPr>
          <w:rFonts w:ascii="Verdana" w:eastAsia="Verdana" w:hAnsi="Verdana" w:cs="Verdana"/>
          <w:lang w:val="en-GB"/>
        </w:rPr>
        <w:t xml:space="preserve">the chairperson enters them to the protocol within the APD system and calculates the grade for the exam and the final grade for the studies based on the algorithm defined in the Rules and Regulations for Studies. </w:t>
      </w:r>
    </w:p>
    <w:p w14:paraId="5C220E4F" w14:textId="66A02C91" w:rsidR="394BD938" w:rsidRPr="00C27CD5" w:rsidRDefault="00232B4C" w:rsidP="394BD938">
      <w:pPr>
        <w:pStyle w:val="Akapitzlist"/>
        <w:numPr>
          <w:ilvl w:val="1"/>
          <w:numId w:val="5"/>
        </w:numPr>
        <w:rPr>
          <w:rFonts w:ascii="Verdana" w:eastAsia="Verdana" w:hAnsi="Verdana" w:cs="Verdana"/>
          <w:lang w:val="en-GB"/>
        </w:rPr>
      </w:pPr>
      <w:r>
        <w:rPr>
          <w:rFonts w:ascii="Verdana" w:eastAsia="Verdana" w:hAnsi="Verdana" w:cs="Verdana"/>
          <w:lang w:val="en-GB"/>
        </w:rPr>
        <w:lastRenderedPageBreak/>
        <w:t>The commission announces the result of the graduation exam to the student and the final grade for the studies, informing the student expressly of the obtained</w:t>
      </w:r>
      <w:r w:rsidR="00C27CD5" w:rsidRPr="00C27CD5">
        <w:rPr>
          <w:rFonts w:ascii="Verdana" w:eastAsia="Verdana" w:hAnsi="Verdana" w:cs="Verdana"/>
          <w:lang w:val="en-GB"/>
        </w:rPr>
        <w:t xml:space="preserve"> </w:t>
      </w:r>
      <w:r w:rsidR="00C27CD5">
        <w:rPr>
          <w:rFonts w:ascii="Verdana" w:eastAsia="Verdana" w:hAnsi="Verdana" w:cs="Verdana"/>
          <w:lang w:val="en-GB"/>
        </w:rPr>
        <w:t>grades</w:t>
      </w:r>
      <w:r>
        <w:rPr>
          <w:rFonts w:ascii="Verdana" w:eastAsia="Verdana" w:hAnsi="Verdana" w:cs="Verdana"/>
          <w:lang w:val="en-GB"/>
        </w:rPr>
        <w:t xml:space="preserve">. </w:t>
      </w:r>
    </w:p>
    <w:sectPr w:rsidR="394BD938" w:rsidRPr="00C27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FCF6"/>
    <w:multiLevelType w:val="hybridMultilevel"/>
    <w:tmpl w:val="2E3ABB48"/>
    <w:lvl w:ilvl="0" w:tplc="6290C6D6">
      <w:start w:val="1"/>
      <w:numFmt w:val="decimal"/>
      <w:lvlText w:val="%1."/>
      <w:lvlJc w:val="left"/>
      <w:pPr>
        <w:ind w:left="720" w:hanging="360"/>
      </w:pPr>
    </w:lvl>
    <w:lvl w:ilvl="1" w:tplc="9A402068">
      <w:start w:val="1"/>
      <w:numFmt w:val="lowerLetter"/>
      <w:lvlText w:val="%2."/>
      <w:lvlJc w:val="left"/>
      <w:pPr>
        <w:ind w:left="1440" w:hanging="360"/>
      </w:pPr>
    </w:lvl>
    <w:lvl w:ilvl="2" w:tplc="970C452E">
      <w:start w:val="1"/>
      <w:numFmt w:val="lowerRoman"/>
      <w:lvlText w:val="%3."/>
      <w:lvlJc w:val="right"/>
      <w:pPr>
        <w:ind w:left="2160" w:hanging="180"/>
      </w:pPr>
    </w:lvl>
    <w:lvl w:ilvl="3" w:tplc="5482791C">
      <w:start w:val="1"/>
      <w:numFmt w:val="decimal"/>
      <w:lvlText w:val="%4."/>
      <w:lvlJc w:val="left"/>
      <w:pPr>
        <w:ind w:left="2880" w:hanging="360"/>
      </w:pPr>
    </w:lvl>
    <w:lvl w:ilvl="4" w:tplc="83E4587E">
      <w:start w:val="1"/>
      <w:numFmt w:val="lowerLetter"/>
      <w:lvlText w:val="%5."/>
      <w:lvlJc w:val="left"/>
      <w:pPr>
        <w:ind w:left="3600" w:hanging="360"/>
      </w:pPr>
    </w:lvl>
    <w:lvl w:ilvl="5" w:tplc="472A9E34">
      <w:start w:val="1"/>
      <w:numFmt w:val="lowerRoman"/>
      <w:lvlText w:val="%6."/>
      <w:lvlJc w:val="right"/>
      <w:pPr>
        <w:ind w:left="4320" w:hanging="180"/>
      </w:pPr>
    </w:lvl>
    <w:lvl w:ilvl="6" w:tplc="DC32FC44">
      <w:start w:val="1"/>
      <w:numFmt w:val="decimal"/>
      <w:lvlText w:val="%7."/>
      <w:lvlJc w:val="left"/>
      <w:pPr>
        <w:ind w:left="5040" w:hanging="360"/>
      </w:pPr>
    </w:lvl>
    <w:lvl w:ilvl="7" w:tplc="68AC1C1A">
      <w:start w:val="1"/>
      <w:numFmt w:val="lowerLetter"/>
      <w:lvlText w:val="%8."/>
      <w:lvlJc w:val="left"/>
      <w:pPr>
        <w:ind w:left="5760" w:hanging="360"/>
      </w:pPr>
    </w:lvl>
    <w:lvl w:ilvl="8" w:tplc="71FAE4C8">
      <w:start w:val="1"/>
      <w:numFmt w:val="lowerRoman"/>
      <w:lvlText w:val="%9."/>
      <w:lvlJc w:val="right"/>
      <w:pPr>
        <w:ind w:left="6480" w:hanging="180"/>
      </w:pPr>
    </w:lvl>
  </w:abstractNum>
  <w:abstractNum w:abstractNumId="1" w15:restartNumberingAfterBreak="0">
    <w:nsid w:val="059B9C13"/>
    <w:multiLevelType w:val="hybridMultilevel"/>
    <w:tmpl w:val="D19040AC"/>
    <w:lvl w:ilvl="0" w:tplc="73948054">
      <w:start w:val="1"/>
      <w:numFmt w:val="lowerLetter"/>
      <w:lvlText w:val="%1."/>
      <w:lvlJc w:val="left"/>
      <w:pPr>
        <w:ind w:left="720" w:hanging="360"/>
      </w:pPr>
    </w:lvl>
    <w:lvl w:ilvl="1" w:tplc="88C8EAE2">
      <w:start w:val="1"/>
      <w:numFmt w:val="lowerLetter"/>
      <w:lvlText w:val="%2."/>
      <w:lvlJc w:val="left"/>
      <w:pPr>
        <w:ind w:left="1440" w:hanging="360"/>
      </w:pPr>
    </w:lvl>
    <w:lvl w:ilvl="2" w:tplc="5F801D06">
      <w:start w:val="1"/>
      <w:numFmt w:val="lowerRoman"/>
      <w:lvlText w:val="%3."/>
      <w:lvlJc w:val="right"/>
      <w:pPr>
        <w:ind w:left="2160" w:hanging="180"/>
      </w:pPr>
    </w:lvl>
    <w:lvl w:ilvl="3" w:tplc="F1D64A94">
      <w:start w:val="1"/>
      <w:numFmt w:val="decimal"/>
      <w:lvlText w:val="%4."/>
      <w:lvlJc w:val="left"/>
      <w:pPr>
        <w:ind w:left="2880" w:hanging="360"/>
      </w:pPr>
    </w:lvl>
    <w:lvl w:ilvl="4" w:tplc="70EC7554">
      <w:start w:val="1"/>
      <w:numFmt w:val="lowerLetter"/>
      <w:lvlText w:val="%5."/>
      <w:lvlJc w:val="left"/>
      <w:pPr>
        <w:ind w:left="3600" w:hanging="360"/>
      </w:pPr>
    </w:lvl>
    <w:lvl w:ilvl="5" w:tplc="8A2AEBE2">
      <w:start w:val="1"/>
      <w:numFmt w:val="lowerRoman"/>
      <w:lvlText w:val="%6."/>
      <w:lvlJc w:val="right"/>
      <w:pPr>
        <w:ind w:left="4320" w:hanging="180"/>
      </w:pPr>
    </w:lvl>
    <w:lvl w:ilvl="6" w:tplc="E7A0779E">
      <w:start w:val="1"/>
      <w:numFmt w:val="decimal"/>
      <w:lvlText w:val="%7."/>
      <w:lvlJc w:val="left"/>
      <w:pPr>
        <w:ind w:left="5040" w:hanging="360"/>
      </w:pPr>
    </w:lvl>
    <w:lvl w:ilvl="7" w:tplc="450E7CF8">
      <w:start w:val="1"/>
      <w:numFmt w:val="lowerLetter"/>
      <w:lvlText w:val="%8."/>
      <w:lvlJc w:val="left"/>
      <w:pPr>
        <w:ind w:left="5760" w:hanging="360"/>
      </w:pPr>
    </w:lvl>
    <w:lvl w:ilvl="8" w:tplc="B36CAB26">
      <w:start w:val="1"/>
      <w:numFmt w:val="lowerRoman"/>
      <w:lvlText w:val="%9."/>
      <w:lvlJc w:val="right"/>
      <w:pPr>
        <w:ind w:left="6480" w:hanging="180"/>
      </w:pPr>
    </w:lvl>
  </w:abstractNum>
  <w:abstractNum w:abstractNumId="2" w15:restartNumberingAfterBreak="0">
    <w:nsid w:val="30360E5F"/>
    <w:multiLevelType w:val="hybridMultilevel"/>
    <w:tmpl w:val="7BA4E652"/>
    <w:lvl w:ilvl="0" w:tplc="7D767CBE">
      <w:start w:val="1"/>
      <w:numFmt w:val="lowerLetter"/>
      <w:lvlText w:val="%1."/>
      <w:lvlJc w:val="left"/>
      <w:pPr>
        <w:ind w:left="1080" w:hanging="360"/>
      </w:pPr>
    </w:lvl>
    <w:lvl w:ilvl="1" w:tplc="FE00E1B4">
      <w:start w:val="1"/>
      <w:numFmt w:val="lowerLetter"/>
      <w:lvlText w:val="%2."/>
      <w:lvlJc w:val="left"/>
      <w:pPr>
        <w:ind w:left="1800" w:hanging="360"/>
      </w:pPr>
    </w:lvl>
    <w:lvl w:ilvl="2" w:tplc="4732A5E6">
      <w:start w:val="1"/>
      <w:numFmt w:val="lowerRoman"/>
      <w:lvlText w:val="%3."/>
      <w:lvlJc w:val="right"/>
      <w:pPr>
        <w:ind w:left="2520" w:hanging="180"/>
      </w:pPr>
    </w:lvl>
    <w:lvl w:ilvl="3" w:tplc="E6A4C6A8">
      <w:start w:val="1"/>
      <w:numFmt w:val="decimal"/>
      <w:lvlText w:val="%4."/>
      <w:lvlJc w:val="left"/>
      <w:pPr>
        <w:ind w:left="3240" w:hanging="360"/>
      </w:pPr>
    </w:lvl>
    <w:lvl w:ilvl="4" w:tplc="97BEFE0E">
      <w:start w:val="1"/>
      <w:numFmt w:val="lowerLetter"/>
      <w:lvlText w:val="%5."/>
      <w:lvlJc w:val="left"/>
      <w:pPr>
        <w:ind w:left="3960" w:hanging="360"/>
      </w:pPr>
    </w:lvl>
    <w:lvl w:ilvl="5" w:tplc="F1F29572">
      <w:start w:val="1"/>
      <w:numFmt w:val="lowerRoman"/>
      <w:lvlText w:val="%6."/>
      <w:lvlJc w:val="right"/>
      <w:pPr>
        <w:ind w:left="4680" w:hanging="180"/>
      </w:pPr>
    </w:lvl>
    <w:lvl w:ilvl="6" w:tplc="C60408AC">
      <w:start w:val="1"/>
      <w:numFmt w:val="decimal"/>
      <w:lvlText w:val="%7."/>
      <w:lvlJc w:val="left"/>
      <w:pPr>
        <w:ind w:left="5400" w:hanging="360"/>
      </w:pPr>
    </w:lvl>
    <w:lvl w:ilvl="7" w:tplc="04DCCD80">
      <w:start w:val="1"/>
      <w:numFmt w:val="lowerLetter"/>
      <w:lvlText w:val="%8."/>
      <w:lvlJc w:val="left"/>
      <w:pPr>
        <w:ind w:left="6120" w:hanging="360"/>
      </w:pPr>
    </w:lvl>
    <w:lvl w:ilvl="8" w:tplc="678AACE4">
      <w:start w:val="1"/>
      <w:numFmt w:val="lowerRoman"/>
      <w:lvlText w:val="%9."/>
      <w:lvlJc w:val="right"/>
      <w:pPr>
        <w:ind w:left="6840" w:hanging="180"/>
      </w:pPr>
    </w:lvl>
  </w:abstractNum>
  <w:abstractNum w:abstractNumId="3" w15:restartNumberingAfterBreak="0">
    <w:nsid w:val="6B8FCB7B"/>
    <w:multiLevelType w:val="hybridMultilevel"/>
    <w:tmpl w:val="C5028CE8"/>
    <w:lvl w:ilvl="0" w:tplc="2F401AE8">
      <w:start w:val="1"/>
      <w:numFmt w:val="lowerLetter"/>
      <w:lvlText w:val="%1."/>
      <w:lvlJc w:val="left"/>
      <w:pPr>
        <w:ind w:left="1428" w:hanging="360"/>
      </w:pPr>
    </w:lvl>
    <w:lvl w:ilvl="1" w:tplc="AD8098BE">
      <w:start w:val="1"/>
      <w:numFmt w:val="lowerLetter"/>
      <w:lvlText w:val="%2."/>
      <w:lvlJc w:val="left"/>
      <w:pPr>
        <w:ind w:left="2148" w:hanging="360"/>
      </w:pPr>
    </w:lvl>
    <w:lvl w:ilvl="2" w:tplc="2B862262">
      <w:start w:val="1"/>
      <w:numFmt w:val="lowerRoman"/>
      <w:lvlText w:val="%3."/>
      <w:lvlJc w:val="right"/>
      <w:pPr>
        <w:ind w:left="2868" w:hanging="180"/>
      </w:pPr>
    </w:lvl>
    <w:lvl w:ilvl="3" w:tplc="661A65FE">
      <w:start w:val="1"/>
      <w:numFmt w:val="decimal"/>
      <w:lvlText w:val="%4."/>
      <w:lvlJc w:val="left"/>
      <w:pPr>
        <w:ind w:left="3588" w:hanging="360"/>
      </w:pPr>
    </w:lvl>
    <w:lvl w:ilvl="4" w:tplc="43069A6E">
      <w:start w:val="1"/>
      <w:numFmt w:val="lowerLetter"/>
      <w:lvlText w:val="%5."/>
      <w:lvlJc w:val="left"/>
      <w:pPr>
        <w:ind w:left="4308" w:hanging="360"/>
      </w:pPr>
    </w:lvl>
    <w:lvl w:ilvl="5" w:tplc="D76CC312">
      <w:start w:val="1"/>
      <w:numFmt w:val="lowerRoman"/>
      <w:lvlText w:val="%6."/>
      <w:lvlJc w:val="right"/>
      <w:pPr>
        <w:ind w:left="5028" w:hanging="180"/>
      </w:pPr>
    </w:lvl>
    <w:lvl w:ilvl="6" w:tplc="061832A4">
      <w:start w:val="1"/>
      <w:numFmt w:val="decimal"/>
      <w:lvlText w:val="%7."/>
      <w:lvlJc w:val="left"/>
      <w:pPr>
        <w:ind w:left="5748" w:hanging="360"/>
      </w:pPr>
    </w:lvl>
    <w:lvl w:ilvl="7" w:tplc="108E5D88">
      <w:start w:val="1"/>
      <w:numFmt w:val="lowerLetter"/>
      <w:lvlText w:val="%8."/>
      <w:lvlJc w:val="left"/>
      <w:pPr>
        <w:ind w:left="6468" w:hanging="360"/>
      </w:pPr>
    </w:lvl>
    <w:lvl w:ilvl="8" w:tplc="9F3AEDF0">
      <w:start w:val="1"/>
      <w:numFmt w:val="lowerRoman"/>
      <w:lvlText w:val="%9."/>
      <w:lvlJc w:val="right"/>
      <w:pPr>
        <w:ind w:left="7188" w:hanging="180"/>
      </w:pPr>
    </w:lvl>
  </w:abstractNum>
  <w:abstractNum w:abstractNumId="4" w15:restartNumberingAfterBreak="0">
    <w:nsid w:val="7DBDD067"/>
    <w:multiLevelType w:val="hybridMultilevel"/>
    <w:tmpl w:val="218AF3AE"/>
    <w:lvl w:ilvl="0" w:tplc="EEE09682">
      <w:start w:val="1"/>
      <w:numFmt w:val="decimal"/>
      <w:lvlText w:val="%1."/>
      <w:lvlJc w:val="left"/>
      <w:pPr>
        <w:ind w:left="720" w:hanging="360"/>
      </w:pPr>
    </w:lvl>
    <w:lvl w:ilvl="1" w:tplc="A54A8BFE">
      <w:start w:val="1"/>
      <w:numFmt w:val="lowerLetter"/>
      <w:lvlText w:val="%2."/>
      <w:lvlJc w:val="left"/>
      <w:pPr>
        <w:ind w:left="1440" w:hanging="360"/>
      </w:pPr>
    </w:lvl>
    <w:lvl w:ilvl="2" w:tplc="164A662C">
      <w:start w:val="1"/>
      <w:numFmt w:val="lowerRoman"/>
      <w:lvlText w:val="%3."/>
      <w:lvlJc w:val="right"/>
      <w:pPr>
        <w:ind w:left="2160" w:hanging="180"/>
      </w:pPr>
    </w:lvl>
    <w:lvl w:ilvl="3" w:tplc="0B7AA08E">
      <w:start w:val="1"/>
      <w:numFmt w:val="decimal"/>
      <w:lvlText w:val="%4."/>
      <w:lvlJc w:val="left"/>
      <w:pPr>
        <w:ind w:left="2880" w:hanging="360"/>
      </w:pPr>
    </w:lvl>
    <w:lvl w:ilvl="4" w:tplc="0BC4B7A4">
      <w:start w:val="1"/>
      <w:numFmt w:val="lowerLetter"/>
      <w:lvlText w:val="%5."/>
      <w:lvlJc w:val="left"/>
      <w:pPr>
        <w:ind w:left="3600" w:hanging="360"/>
      </w:pPr>
    </w:lvl>
    <w:lvl w:ilvl="5" w:tplc="8194AF6A">
      <w:start w:val="1"/>
      <w:numFmt w:val="lowerRoman"/>
      <w:lvlText w:val="%6."/>
      <w:lvlJc w:val="right"/>
      <w:pPr>
        <w:ind w:left="4320" w:hanging="180"/>
      </w:pPr>
    </w:lvl>
    <w:lvl w:ilvl="6" w:tplc="F7BEEBE0">
      <w:start w:val="1"/>
      <w:numFmt w:val="decimal"/>
      <w:lvlText w:val="%7."/>
      <w:lvlJc w:val="left"/>
      <w:pPr>
        <w:ind w:left="5040" w:hanging="360"/>
      </w:pPr>
    </w:lvl>
    <w:lvl w:ilvl="7" w:tplc="A2BA31D8">
      <w:start w:val="1"/>
      <w:numFmt w:val="lowerLetter"/>
      <w:lvlText w:val="%8."/>
      <w:lvlJc w:val="left"/>
      <w:pPr>
        <w:ind w:left="5760" w:hanging="360"/>
      </w:pPr>
    </w:lvl>
    <w:lvl w:ilvl="8" w:tplc="7FE02412">
      <w:start w:val="1"/>
      <w:numFmt w:val="lowerRoman"/>
      <w:lvlText w:val="%9."/>
      <w:lvlJc w:val="right"/>
      <w:pPr>
        <w:ind w:left="6480" w:hanging="180"/>
      </w:pPr>
    </w:lvl>
  </w:abstractNum>
  <w:num w:numId="1" w16cid:durableId="1094129119">
    <w:abstractNumId w:val="2"/>
  </w:num>
  <w:num w:numId="2" w16cid:durableId="764038563">
    <w:abstractNumId w:val="1"/>
  </w:num>
  <w:num w:numId="3" w16cid:durableId="368995847">
    <w:abstractNumId w:val="3"/>
  </w:num>
  <w:num w:numId="4" w16cid:durableId="1855260863">
    <w:abstractNumId w:val="0"/>
  </w:num>
  <w:num w:numId="5" w16cid:durableId="315109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0E2E9"/>
    <w:rsid w:val="00012EFB"/>
    <w:rsid w:val="000618CF"/>
    <w:rsid w:val="00063228"/>
    <w:rsid w:val="000E7809"/>
    <w:rsid w:val="00181448"/>
    <w:rsid w:val="00232B4C"/>
    <w:rsid w:val="00306EDF"/>
    <w:rsid w:val="003B5150"/>
    <w:rsid w:val="004463C4"/>
    <w:rsid w:val="0055B4BE"/>
    <w:rsid w:val="0057424E"/>
    <w:rsid w:val="005B29D1"/>
    <w:rsid w:val="005C5085"/>
    <w:rsid w:val="006C7CDE"/>
    <w:rsid w:val="0079D825"/>
    <w:rsid w:val="007D3453"/>
    <w:rsid w:val="00826242"/>
    <w:rsid w:val="0098E32B"/>
    <w:rsid w:val="00A033B2"/>
    <w:rsid w:val="00A12345"/>
    <w:rsid w:val="00A467C2"/>
    <w:rsid w:val="00AC383F"/>
    <w:rsid w:val="00B160FE"/>
    <w:rsid w:val="00B871DE"/>
    <w:rsid w:val="00C27CD5"/>
    <w:rsid w:val="00D52771"/>
    <w:rsid w:val="00F71F56"/>
    <w:rsid w:val="01B9604F"/>
    <w:rsid w:val="02529DF4"/>
    <w:rsid w:val="02AD34D6"/>
    <w:rsid w:val="04290650"/>
    <w:rsid w:val="04C62FF2"/>
    <w:rsid w:val="05FC009A"/>
    <w:rsid w:val="0624D028"/>
    <w:rsid w:val="0653A807"/>
    <w:rsid w:val="065F6336"/>
    <w:rsid w:val="0663AD9E"/>
    <w:rsid w:val="06ABA326"/>
    <w:rsid w:val="077239EB"/>
    <w:rsid w:val="07FB97B1"/>
    <w:rsid w:val="0896250A"/>
    <w:rsid w:val="08D0E2E9"/>
    <w:rsid w:val="090146F5"/>
    <w:rsid w:val="093B362E"/>
    <w:rsid w:val="0982690D"/>
    <w:rsid w:val="0A295371"/>
    <w:rsid w:val="0AC8293F"/>
    <w:rsid w:val="0B1E4448"/>
    <w:rsid w:val="0B35A6AF"/>
    <w:rsid w:val="0BC7BB64"/>
    <w:rsid w:val="0C781221"/>
    <w:rsid w:val="0D1FCD2C"/>
    <w:rsid w:val="0D939F94"/>
    <w:rsid w:val="0E43CEB3"/>
    <w:rsid w:val="0ECCBFC0"/>
    <w:rsid w:val="0EF475F2"/>
    <w:rsid w:val="103FC775"/>
    <w:rsid w:val="1053A895"/>
    <w:rsid w:val="10920A25"/>
    <w:rsid w:val="112174B7"/>
    <w:rsid w:val="12DB2902"/>
    <w:rsid w:val="135BBD44"/>
    <w:rsid w:val="141CAA83"/>
    <w:rsid w:val="149BFA51"/>
    <w:rsid w:val="14BA5641"/>
    <w:rsid w:val="150843E9"/>
    <w:rsid w:val="152A4906"/>
    <w:rsid w:val="159B26FE"/>
    <w:rsid w:val="163C1214"/>
    <w:rsid w:val="1659F988"/>
    <w:rsid w:val="166CDCDF"/>
    <w:rsid w:val="1679C1F6"/>
    <w:rsid w:val="1723B96C"/>
    <w:rsid w:val="176678E9"/>
    <w:rsid w:val="17AB1BF9"/>
    <w:rsid w:val="1828439E"/>
    <w:rsid w:val="19058785"/>
    <w:rsid w:val="1A193F12"/>
    <w:rsid w:val="1C1964AC"/>
    <w:rsid w:val="1CCC38D7"/>
    <w:rsid w:val="1DAF2835"/>
    <w:rsid w:val="1DEA1977"/>
    <w:rsid w:val="1E331BB4"/>
    <w:rsid w:val="1F02473A"/>
    <w:rsid w:val="1FA53337"/>
    <w:rsid w:val="20533CFF"/>
    <w:rsid w:val="2054C853"/>
    <w:rsid w:val="205909DA"/>
    <w:rsid w:val="2065F60A"/>
    <w:rsid w:val="20B69896"/>
    <w:rsid w:val="2101A41D"/>
    <w:rsid w:val="2136829C"/>
    <w:rsid w:val="215778A2"/>
    <w:rsid w:val="2182534E"/>
    <w:rsid w:val="218F1226"/>
    <w:rsid w:val="22D44792"/>
    <w:rsid w:val="2383EAA5"/>
    <w:rsid w:val="23A59EF5"/>
    <w:rsid w:val="24730D93"/>
    <w:rsid w:val="25257645"/>
    <w:rsid w:val="254297E9"/>
    <w:rsid w:val="26E06F96"/>
    <w:rsid w:val="26FF28FE"/>
    <w:rsid w:val="27501F52"/>
    <w:rsid w:val="276B282D"/>
    <w:rsid w:val="2885263E"/>
    <w:rsid w:val="28B1C768"/>
    <w:rsid w:val="293136DF"/>
    <w:rsid w:val="299CE35D"/>
    <w:rsid w:val="2A182CAE"/>
    <w:rsid w:val="2A4CCA03"/>
    <w:rsid w:val="2A525510"/>
    <w:rsid w:val="2A915A33"/>
    <w:rsid w:val="2AF64735"/>
    <w:rsid w:val="2B041659"/>
    <w:rsid w:val="2B9EE2FC"/>
    <w:rsid w:val="2C351068"/>
    <w:rsid w:val="2C6D75F9"/>
    <w:rsid w:val="2E117C14"/>
    <w:rsid w:val="2E29FADA"/>
    <w:rsid w:val="2E3F2A2C"/>
    <w:rsid w:val="2E8564C8"/>
    <w:rsid w:val="2EA8B1EF"/>
    <w:rsid w:val="2F4EDBC3"/>
    <w:rsid w:val="2F7E5932"/>
    <w:rsid w:val="3003595F"/>
    <w:rsid w:val="3010C8C4"/>
    <w:rsid w:val="30280ED1"/>
    <w:rsid w:val="30450989"/>
    <w:rsid w:val="304630EC"/>
    <w:rsid w:val="307A62FB"/>
    <w:rsid w:val="312C3EB8"/>
    <w:rsid w:val="322DDFBD"/>
    <w:rsid w:val="325D71E5"/>
    <w:rsid w:val="33177D92"/>
    <w:rsid w:val="339C05C1"/>
    <w:rsid w:val="348272A7"/>
    <w:rsid w:val="36B1F7C6"/>
    <w:rsid w:val="37FA24E7"/>
    <w:rsid w:val="384C0B37"/>
    <w:rsid w:val="38886406"/>
    <w:rsid w:val="389E0407"/>
    <w:rsid w:val="38A9A8A7"/>
    <w:rsid w:val="392AF3B9"/>
    <w:rsid w:val="394BD938"/>
    <w:rsid w:val="39565634"/>
    <w:rsid w:val="3A90858E"/>
    <w:rsid w:val="3AA230A6"/>
    <w:rsid w:val="3AB09B34"/>
    <w:rsid w:val="3ACAC0EE"/>
    <w:rsid w:val="3B0A4A97"/>
    <w:rsid w:val="3B338494"/>
    <w:rsid w:val="3B9F3020"/>
    <w:rsid w:val="3C06CDA8"/>
    <w:rsid w:val="3C3399A4"/>
    <w:rsid w:val="3C3E8831"/>
    <w:rsid w:val="3C97EDE0"/>
    <w:rsid w:val="3CCE1364"/>
    <w:rsid w:val="3CFCE274"/>
    <w:rsid w:val="3D2BD07B"/>
    <w:rsid w:val="3DEAB8A2"/>
    <w:rsid w:val="3E3E5CF8"/>
    <w:rsid w:val="3ED32D3E"/>
    <w:rsid w:val="3EF442D4"/>
    <w:rsid w:val="3FF55EB2"/>
    <w:rsid w:val="4014123C"/>
    <w:rsid w:val="4020C1C5"/>
    <w:rsid w:val="407FB3D0"/>
    <w:rsid w:val="411FB894"/>
    <w:rsid w:val="4248DE6C"/>
    <w:rsid w:val="42B13A1E"/>
    <w:rsid w:val="438E036A"/>
    <w:rsid w:val="43D2FEC0"/>
    <w:rsid w:val="443075C4"/>
    <w:rsid w:val="44718CD8"/>
    <w:rsid w:val="448381FF"/>
    <w:rsid w:val="448773AD"/>
    <w:rsid w:val="4506ADFB"/>
    <w:rsid w:val="4517E3B0"/>
    <w:rsid w:val="458CE4B6"/>
    <w:rsid w:val="45CF4814"/>
    <w:rsid w:val="45D7C5AD"/>
    <w:rsid w:val="463FC335"/>
    <w:rsid w:val="4655B898"/>
    <w:rsid w:val="46C17D92"/>
    <w:rsid w:val="46E599D8"/>
    <w:rsid w:val="472C3CCE"/>
    <w:rsid w:val="47920498"/>
    <w:rsid w:val="47D52098"/>
    <w:rsid w:val="4880A5A5"/>
    <w:rsid w:val="491CDD12"/>
    <w:rsid w:val="492D50DA"/>
    <w:rsid w:val="494846D5"/>
    <w:rsid w:val="49BB135C"/>
    <w:rsid w:val="4A744C47"/>
    <w:rsid w:val="4A7934BC"/>
    <w:rsid w:val="4BF880F6"/>
    <w:rsid w:val="4C3CDDFE"/>
    <w:rsid w:val="4C7C9C4B"/>
    <w:rsid w:val="4C983C80"/>
    <w:rsid w:val="4CBC8F77"/>
    <w:rsid w:val="4D238418"/>
    <w:rsid w:val="4DD69694"/>
    <w:rsid w:val="4E09F8AE"/>
    <w:rsid w:val="4E2B9C85"/>
    <w:rsid w:val="4EA30E50"/>
    <w:rsid w:val="4EA51DE5"/>
    <w:rsid w:val="4FD4B7E6"/>
    <w:rsid w:val="50292A5D"/>
    <w:rsid w:val="5188C39F"/>
    <w:rsid w:val="51CEAB6A"/>
    <w:rsid w:val="528E7071"/>
    <w:rsid w:val="5333F31B"/>
    <w:rsid w:val="539F5FBD"/>
    <w:rsid w:val="53A2971E"/>
    <w:rsid w:val="54090848"/>
    <w:rsid w:val="5526CE21"/>
    <w:rsid w:val="5602E460"/>
    <w:rsid w:val="566A239A"/>
    <w:rsid w:val="5679C83A"/>
    <w:rsid w:val="57C17057"/>
    <w:rsid w:val="57DB2AE5"/>
    <w:rsid w:val="58509FC1"/>
    <w:rsid w:val="59CA0A5A"/>
    <w:rsid w:val="59EC28D9"/>
    <w:rsid w:val="5A0B5FBA"/>
    <w:rsid w:val="5A3D0653"/>
    <w:rsid w:val="5A7EC638"/>
    <w:rsid w:val="5C190F97"/>
    <w:rsid w:val="5CF0CB50"/>
    <w:rsid w:val="5E100EAB"/>
    <w:rsid w:val="5E2B6BC1"/>
    <w:rsid w:val="5F04402E"/>
    <w:rsid w:val="5F317DCE"/>
    <w:rsid w:val="5FAAC7C8"/>
    <w:rsid w:val="5FECEC24"/>
    <w:rsid w:val="60DC01AB"/>
    <w:rsid w:val="60E7B183"/>
    <w:rsid w:val="6104B3C0"/>
    <w:rsid w:val="615FFB44"/>
    <w:rsid w:val="6165285E"/>
    <w:rsid w:val="61804F23"/>
    <w:rsid w:val="618A6CEC"/>
    <w:rsid w:val="620481C0"/>
    <w:rsid w:val="623143E4"/>
    <w:rsid w:val="624173B8"/>
    <w:rsid w:val="6243FDA6"/>
    <w:rsid w:val="63151D48"/>
    <w:rsid w:val="63448EA3"/>
    <w:rsid w:val="63B4BB5A"/>
    <w:rsid w:val="640C1E78"/>
    <w:rsid w:val="64417094"/>
    <w:rsid w:val="65313608"/>
    <w:rsid w:val="658F367D"/>
    <w:rsid w:val="65A8372C"/>
    <w:rsid w:val="66724AE8"/>
    <w:rsid w:val="66B5B0D4"/>
    <w:rsid w:val="6733E765"/>
    <w:rsid w:val="674DD81C"/>
    <w:rsid w:val="6750262C"/>
    <w:rsid w:val="67FB6B21"/>
    <w:rsid w:val="68DF8C99"/>
    <w:rsid w:val="6951B5FE"/>
    <w:rsid w:val="699828EC"/>
    <w:rsid w:val="6A0AD9CD"/>
    <w:rsid w:val="6AD7B625"/>
    <w:rsid w:val="6AF79D50"/>
    <w:rsid w:val="6AFE1275"/>
    <w:rsid w:val="6B35257D"/>
    <w:rsid w:val="6C04F151"/>
    <w:rsid w:val="6C9FF43E"/>
    <w:rsid w:val="6CF510D7"/>
    <w:rsid w:val="6D9BF36B"/>
    <w:rsid w:val="6DBEF608"/>
    <w:rsid w:val="6E53A9C0"/>
    <w:rsid w:val="6E7D01E2"/>
    <w:rsid w:val="6E85CE71"/>
    <w:rsid w:val="6EA1A2FB"/>
    <w:rsid w:val="6EFED6DE"/>
    <w:rsid w:val="6F86C384"/>
    <w:rsid w:val="70608B86"/>
    <w:rsid w:val="70EED41A"/>
    <w:rsid w:val="70F3BDB2"/>
    <w:rsid w:val="710B8420"/>
    <w:rsid w:val="714F4242"/>
    <w:rsid w:val="719505BA"/>
    <w:rsid w:val="72151D00"/>
    <w:rsid w:val="7226F36D"/>
    <w:rsid w:val="722D2850"/>
    <w:rsid w:val="731CA886"/>
    <w:rsid w:val="732B6804"/>
    <w:rsid w:val="7387A242"/>
    <w:rsid w:val="746456A8"/>
    <w:rsid w:val="761241FF"/>
    <w:rsid w:val="7619D177"/>
    <w:rsid w:val="76DE335F"/>
    <w:rsid w:val="76EFA561"/>
    <w:rsid w:val="77447691"/>
    <w:rsid w:val="776E46A2"/>
    <w:rsid w:val="77964C09"/>
    <w:rsid w:val="77D5E135"/>
    <w:rsid w:val="77FB3EE9"/>
    <w:rsid w:val="7843EB03"/>
    <w:rsid w:val="784BB9BA"/>
    <w:rsid w:val="794B201F"/>
    <w:rsid w:val="794C7B27"/>
    <w:rsid w:val="79575C3B"/>
    <w:rsid w:val="796E4098"/>
    <w:rsid w:val="797CECC4"/>
    <w:rsid w:val="79BCC251"/>
    <w:rsid w:val="7A18E24E"/>
    <w:rsid w:val="7B858129"/>
    <w:rsid w:val="7C15B77C"/>
    <w:rsid w:val="7CD42C2B"/>
    <w:rsid w:val="7DA5D28D"/>
    <w:rsid w:val="7E131BC8"/>
    <w:rsid w:val="7E41843E"/>
    <w:rsid w:val="7EF9EAF1"/>
    <w:rsid w:val="7F19CED9"/>
    <w:rsid w:val="7FB5C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E2E9"/>
  <w15:chartTrackingRefBased/>
  <w15:docId w15:val="{CFE5908B-B496-4924-A881-E030D163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1160</Words>
  <Characters>6962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Madej</dc:creator>
  <cp:keywords/>
  <dc:description/>
  <cp:lastModifiedBy>Małgorzata Madej</cp:lastModifiedBy>
  <cp:revision>15</cp:revision>
  <dcterms:created xsi:type="dcterms:W3CDTF">2025-03-11T14:05:00Z</dcterms:created>
  <dcterms:modified xsi:type="dcterms:W3CDTF">2025-03-21T14:38:00Z</dcterms:modified>
</cp:coreProperties>
</file>